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bookmarkEnd w:id="0"/>
    </w:p>
    <w:p>
      <w:pPr>
        <w:jc w:val="center"/>
        <w:rPr>
          <w:sz w:val="24"/>
          <w:szCs w:val="24"/>
        </w:rPr>
      </w:pPr>
      <w:r>
        <w:rPr>
          <w:rFonts w:hint="eastAsia"/>
          <w:sz w:val="44"/>
          <w:szCs w:val="44"/>
        </w:rPr>
        <w:t>安全生产检测检验机构信息公开表</w:t>
      </w: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303"/>
        <w:gridCol w:w="584"/>
        <w:gridCol w:w="848"/>
        <w:gridCol w:w="159"/>
        <w:gridCol w:w="1400"/>
        <w:gridCol w:w="78"/>
        <w:gridCol w:w="1613"/>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56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机构名称</w:t>
            </w:r>
          </w:p>
        </w:tc>
        <w:tc>
          <w:tcPr>
            <w:tcW w:w="7381"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56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河北秦安安全科技股份有限公司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52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56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统一社会信用代码/注册号</w:t>
            </w:r>
          </w:p>
        </w:tc>
        <w:tc>
          <w:tcPr>
            <w:tcW w:w="548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56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9113030075243854X2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通信地址</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424" w:rightChars="202"/>
              <w:jc w:val="left"/>
              <w:rPr>
                <w:rFonts w:hint="eastAsia" w:ascii="宋体" w:hAnsi="宋体" w:eastAsia="宋体" w:cs="宋体"/>
                <w:sz w:val="21"/>
                <w:szCs w:val="21"/>
                <w:lang w:val="en-US"/>
              </w:rPr>
            </w:pPr>
            <w:r>
              <w:rPr>
                <w:rFonts w:hint="eastAsia" w:ascii="宋体" w:hAnsi="宋体" w:eastAsia="宋体" w:cs="宋体"/>
                <w:sz w:val="21"/>
                <w:szCs w:val="21"/>
                <w:lang w:val="en-US" w:eastAsia="zh-CN"/>
              </w:rPr>
              <w:t>秦皇岛经济技术开发区数谷大道5-5-1</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邮政编码</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066000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实验室地址</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秦皇岛经济技术开发区数谷大道5-5-1</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邮政编码</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066000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机构信息公开网址</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http://www.qhdsafety.com</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法定代表人</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陈彦中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机构联系人</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李旭</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联系电话</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15033538989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360" w:lineRule="exac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主持检测检验工作负责人</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360" w:lineRule="exac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陈彦中</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360" w:lineRule="exac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技术负责人</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曲大伟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80" w:lineRule="atLeas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资质证书编号</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8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 xml:space="preserve">冀 应急 19 01 </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360" w:lineRule="exac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发证日期</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8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2019年12月26日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80" w:lineRule="atLeast"/>
              <w:ind w:left="-107"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资质证书批准部门</w:t>
            </w:r>
          </w:p>
        </w:tc>
        <w:tc>
          <w:tcPr>
            <w:tcW w:w="306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8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河北省应急管理厅</w:t>
            </w:r>
          </w:p>
        </w:tc>
        <w:tc>
          <w:tcPr>
            <w:tcW w:w="2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360" w:lineRule="exact"/>
              <w:ind w:left="0" w:leftChars="0" w:right="0" w:right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有效日期</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8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2024年12月25日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15"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批准的业务范围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gridSpan w:val="3"/>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nil"/>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gridSpan w:val="3"/>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gridSpan w:val="3"/>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矿用人车连接装置</w:t>
            </w: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 </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p>
        </w:tc>
        <w:tc>
          <w:tcPr>
            <w:tcW w:w="1559"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超声波探伤</w:t>
            </w:r>
          </w:p>
        </w:tc>
        <w:tc>
          <w:tcPr>
            <w:tcW w:w="1691" w:type="dxa"/>
            <w:gridSpan w:val="2"/>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color w:val="auto"/>
                <w:spacing w:val="-11"/>
                <w:kern w:val="0"/>
                <w:sz w:val="24"/>
                <w:szCs w:val="24"/>
                <w:lang w:val="zh-CN"/>
              </w:rPr>
              <w:t>GB</w:t>
            </w:r>
            <w:r>
              <w:rPr>
                <w:rFonts w:hint="eastAsia" w:ascii="仿宋" w:hAnsi="仿宋" w:eastAsia="仿宋" w:cs="仿宋"/>
                <w:color w:val="auto"/>
                <w:spacing w:val="-11"/>
                <w:kern w:val="0"/>
                <w:sz w:val="24"/>
                <w:szCs w:val="24"/>
                <w:lang w:val="en-US" w:eastAsia="zh-CN"/>
              </w:rPr>
              <w:t>/</w:t>
            </w:r>
            <w:r>
              <w:rPr>
                <w:rFonts w:hint="eastAsia" w:ascii="仿宋" w:hAnsi="仿宋" w:eastAsia="仿宋" w:cs="仿宋"/>
                <w:color w:val="auto"/>
                <w:spacing w:val="-11"/>
                <w:kern w:val="0"/>
                <w:sz w:val="24"/>
                <w:szCs w:val="24"/>
                <w:lang w:val="zh-CN"/>
              </w:rPr>
              <w:t>T6402-2008</w:t>
            </w:r>
            <w:r>
              <w:rPr>
                <w:rFonts w:hint="eastAsia" w:ascii="仿宋" w:hAnsi="仿宋" w:eastAsia="仿宋" w:cs="仿宋"/>
                <w:color w:val="auto"/>
                <w:spacing w:val="-11"/>
                <w:kern w:val="0"/>
                <w:sz w:val="24"/>
                <w:szCs w:val="24"/>
                <w:lang w:val="en-US" w:eastAsia="zh-CN"/>
              </w:rPr>
              <w:t xml:space="preserve"> </w:t>
            </w:r>
            <w:r>
              <w:rPr>
                <w:rFonts w:hint="eastAsia" w:ascii="仿宋" w:hAnsi="仿宋" w:eastAsia="仿宋" w:cs="仿宋"/>
                <w:color w:val="auto"/>
                <w:spacing w:val="-11"/>
                <w:kern w:val="0"/>
                <w:sz w:val="24"/>
                <w:szCs w:val="24"/>
                <w:lang w:val="zh-CN"/>
              </w:rPr>
              <w:t>《钢锻件超声检测方法》</w:t>
            </w:r>
            <w:r>
              <w:rPr>
                <w:rFonts w:hint="eastAsia" w:ascii="仿宋" w:hAnsi="仿宋" w:eastAsia="仿宋" w:cs="仿宋"/>
                <w:color w:val="auto"/>
                <w:kern w:val="0"/>
                <w:sz w:val="24"/>
                <w:szCs w:val="24"/>
                <w:lang w:val="en-US" w:eastAsia="zh-CN"/>
              </w:rPr>
              <w:t xml:space="preserve">             MT/T684-1997《矿用提升容器重要承载件无损探伤方法与验收规范》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 </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gridSpan w:val="3"/>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1559"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磁粉探伤</w:t>
            </w:r>
          </w:p>
        </w:tc>
        <w:tc>
          <w:tcPr>
            <w:tcW w:w="1691" w:type="dxa"/>
            <w:gridSpan w:val="2"/>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 </w:t>
            </w: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 </w:t>
            </w:r>
          </w:p>
        </w:tc>
      </w:tr>
    </w:tbl>
    <w:p>
      <w:r>
        <w:br w:type="page"/>
      </w: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17" w:type="dxa"/>
            <w:vMerge w:val="restart"/>
            <w:tcBorders>
              <w:top w:val="single" w:color="auto" w:sz="4" w:space="0"/>
              <w:left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矿用提升容器重要承载件</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超声波探伤</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1"/>
                <w:kern w:val="0"/>
                <w:sz w:val="24"/>
                <w:szCs w:val="24"/>
                <w:lang w:val="zh-CN"/>
              </w:rPr>
              <w:t>GB</w:t>
            </w:r>
            <w:r>
              <w:rPr>
                <w:rFonts w:hint="eastAsia" w:ascii="仿宋" w:hAnsi="仿宋" w:eastAsia="仿宋" w:cs="仿宋"/>
                <w:color w:val="auto"/>
                <w:spacing w:val="-11"/>
                <w:kern w:val="0"/>
                <w:sz w:val="24"/>
                <w:szCs w:val="24"/>
                <w:lang w:val="en-US" w:eastAsia="zh-CN"/>
              </w:rPr>
              <w:t>/</w:t>
            </w:r>
            <w:r>
              <w:rPr>
                <w:rFonts w:hint="eastAsia" w:ascii="仿宋" w:hAnsi="仿宋" w:eastAsia="仿宋" w:cs="仿宋"/>
                <w:color w:val="auto"/>
                <w:spacing w:val="-11"/>
                <w:kern w:val="0"/>
                <w:sz w:val="24"/>
                <w:szCs w:val="24"/>
                <w:lang w:val="zh-CN"/>
              </w:rPr>
              <w:t>T6402-2008《钢锻件超声检测方法》</w:t>
            </w:r>
            <w:r>
              <w:rPr>
                <w:rFonts w:hint="eastAsia" w:ascii="仿宋" w:hAnsi="仿宋" w:eastAsia="仿宋" w:cs="仿宋"/>
                <w:color w:val="auto"/>
                <w:spacing w:val="-11"/>
                <w:kern w:val="0"/>
                <w:sz w:val="24"/>
                <w:szCs w:val="24"/>
                <w:lang w:val="en-US" w:eastAsia="zh-CN"/>
              </w:rPr>
              <w:t xml:space="preserve"> </w:t>
            </w:r>
            <w:r>
              <w:rPr>
                <w:rFonts w:hint="eastAsia" w:ascii="仿宋" w:hAnsi="仿宋" w:eastAsia="仿宋" w:cs="仿宋"/>
                <w:color w:val="auto"/>
                <w:kern w:val="0"/>
                <w:sz w:val="24"/>
                <w:szCs w:val="24"/>
                <w:lang w:val="en-US" w:eastAsia="zh-CN"/>
              </w:rPr>
              <w:t xml:space="preserve">             MT/T684-1997《矿用提升容器重要承载件无损探伤方法与验收规范》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磁粉探伤</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17" w:type="dxa"/>
            <w:vMerge w:val="restart"/>
            <w:tcBorders>
              <w:top w:val="single" w:color="auto" w:sz="4" w:space="0"/>
              <w:left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04" w:type="dxa"/>
            <w:vMerge w:val="restart"/>
            <w:tcBorders>
              <w:top w:val="single" w:color="auto" w:sz="4" w:space="0"/>
              <w:left w:val="nil"/>
              <w:right w:val="single" w:color="auto" w:sz="4" w:space="0"/>
            </w:tcBorders>
            <w:noWrap w:val="0"/>
            <w:vAlign w:val="center"/>
          </w:tcPr>
          <w:p>
            <w:pPr>
              <w:pStyle w:val="7"/>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通风机</w:t>
            </w:r>
          </w:p>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叶片</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超声波探伤</w:t>
            </w:r>
          </w:p>
        </w:tc>
        <w:tc>
          <w:tcPr>
            <w:tcW w:w="1691" w:type="dxa"/>
            <w:vMerge w:val="restart"/>
            <w:tcBorders>
              <w:top w:val="single" w:color="auto" w:sz="4" w:space="0"/>
              <w:left w:val="nil"/>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SA"/>
              </w:rPr>
              <w:t>GB/T6519-2013《变形铝、镁合金产品超声波检验方法》GB/T15822.1-2005《无损检测磁粉检测 第一部分 总则》</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磁粉探伤</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17" w:type="dxa"/>
            <w:vMerge w:val="restart"/>
            <w:tcBorders>
              <w:top w:val="single" w:color="auto" w:sz="4" w:space="0"/>
              <w:left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04" w:type="dxa"/>
            <w:vMerge w:val="restart"/>
            <w:tcBorders>
              <w:top w:val="single" w:color="auto" w:sz="4" w:space="0"/>
              <w:left w:val="nil"/>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天轮轴、导向轮轴</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超声波探伤</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1"/>
                <w:kern w:val="0"/>
                <w:sz w:val="24"/>
                <w:szCs w:val="24"/>
                <w:lang w:val="zh-CN"/>
              </w:rPr>
              <w:t>GB</w:t>
            </w:r>
            <w:r>
              <w:rPr>
                <w:rFonts w:hint="eastAsia" w:ascii="仿宋" w:hAnsi="仿宋" w:eastAsia="仿宋" w:cs="仿宋"/>
                <w:color w:val="auto"/>
                <w:spacing w:val="-11"/>
                <w:kern w:val="0"/>
                <w:sz w:val="24"/>
                <w:szCs w:val="24"/>
                <w:lang w:val="en-US" w:eastAsia="zh-CN"/>
              </w:rPr>
              <w:t>/</w:t>
            </w:r>
            <w:r>
              <w:rPr>
                <w:rFonts w:hint="eastAsia" w:ascii="仿宋" w:hAnsi="仿宋" w:eastAsia="仿宋" w:cs="仿宋"/>
                <w:color w:val="auto"/>
                <w:spacing w:val="-11"/>
                <w:kern w:val="0"/>
                <w:sz w:val="24"/>
                <w:szCs w:val="24"/>
                <w:lang w:val="zh-CN"/>
              </w:rPr>
              <w:t>T6402-2008</w:t>
            </w:r>
            <w:r>
              <w:rPr>
                <w:rFonts w:hint="eastAsia" w:ascii="仿宋" w:hAnsi="仿宋" w:eastAsia="仿宋" w:cs="仿宋"/>
                <w:color w:val="auto"/>
                <w:spacing w:val="-11"/>
                <w:kern w:val="0"/>
                <w:sz w:val="24"/>
                <w:szCs w:val="24"/>
                <w:lang w:val="en-US" w:eastAsia="zh-CN"/>
              </w:rPr>
              <w:t xml:space="preserve"> </w:t>
            </w:r>
            <w:r>
              <w:rPr>
                <w:rFonts w:hint="eastAsia" w:ascii="仿宋" w:hAnsi="仿宋" w:eastAsia="仿宋" w:cs="仿宋"/>
                <w:color w:val="auto"/>
                <w:spacing w:val="-11"/>
                <w:kern w:val="0"/>
                <w:sz w:val="24"/>
                <w:szCs w:val="24"/>
                <w:lang w:val="zh-CN"/>
              </w:rPr>
              <w:t>《钢锻件超声检测方法》</w:t>
            </w:r>
            <w:r>
              <w:rPr>
                <w:rFonts w:hint="eastAsia" w:ascii="仿宋" w:hAnsi="仿宋" w:eastAsia="仿宋" w:cs="仿宋"/>
                <w:color w:val="auto"/>
                <w:kern w:val="0"/>
                <w:sz w:val="24"/>
                <w:szCs w:val="24"/>
                <w:lang w:val="en-US" w:eastAsia="zh-CN"/>
              </w:rPr>
              <w:t xml:space="preserve">             MT/T684-1997《矿用提升容器重要承载件无损探伤方法与验收规范》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磁粉探伤</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704" w:type="dxa"/>
            <w:vMerge w:val="restart"/>
            <w:tcBorders>
              <w:top w:val="single" w:color="auto" w:sz="4" w:space="0"/>
              <w:left w:val="nil"/>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罐笼</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罐笼与井壁、罐道梁最小间隙</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pacing w:val="-11"/>
                <w:kern w:val="0"/>
                <w:sz w:val="24"/>
                <w:szCs w:val="24"/>
                <w:lang w:val="zh-CN"/>
              </w:rPr>
            </w:pPr>
            <w:r>
              <w:rPr>
                <w:rFonts w:hint="eastAsia" w:ascii="仿宋" w:hAnsi="仿宋" w:eastAsia="仿宋" w:cs="仿宋"/>
                <w:color w:val="auto"/>
                <w:spacing w:val="-11"/>
                <w:kern w:val="0"/>
                <w:sz w:val="24"/>
                <w:szCs w:val="24"/>
                <w:lang w:val="zh-CN"/>
              </w:rPr>
              <w:t>GB16542-2010 《罐笼安全技术要求》</w:t>
            </w:r>
          </w:p>
          <w:p>
            <w:pPr>
              <w:spacing w:line="240" w:lineRule="auto"/>
              <w:rPr>
                <w:rFonts w:hint="eastAsia"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zh-CN"/>
              </w:rPr>
              <w:t>GB16423-20</w:t>
            </w:r>
            <w:r>
              <w:rPr>
                <w:rFonts w:hint="eastAsia" w:ascii="仿宋" w:hAnsi="仿宋" w:eastAsia="仿宋" w:cs="仿宋"/>
                <w:color w:val="auto"/>
                <w:spacing w:val="-11"/>
                <w:kern w:val="0"/>
                <w:sz w:val="24"/>
                <w:szCs w:val="24"/>
                <w:lang w:val="en-US" w:eastAsia="zh-CN"/>
              </w:rPr>
              <w:t>20</w:t>
            </w:r>
            <w:r>
              <w:rPr>
                <w:rFonts w:hint="eastAsia" w:ascii="仿宋" w:hAnsi="仿宋" w:eastAsia="仿宋" w:cs="仿宋"/>
                <w:color w:val="auto"/>
                <w:spacing w:val="-11"/>
                <w:kern w:val="0"/>
                <w:sz w:val="24"/>
                <w:szCs w:val="24"/>
                <w:lang w:val="zh-CN"/>
              </w:rPr>
              <w:t xml:space="preserve"> 《金属非金属矿山安全规程》</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罐笼及净高</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罐笼扶手设置高度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罐门罐帘上缘、下缘距地板高度，横杆、竖杆间距</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载矿车罐笼的阻车器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罐体顶部及顶盖门、人孔</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轮胎式装载机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制动系统</w:t>
            </w:r>
          </w:p>
        </w:tc>
        <w:tc>
          <w:tcPr>
            <w:tcW w:w="1691" w:type="dxa"/>
            <w:vMerge w:val="restart"/>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p>
          <w:p>
            <w:pPr>
              <w:spacing w:line="2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JB6030-2001《工程机械 通用安全技术要求》</w:t>
            </w:r>
          </w:p>
          <w:p>
            <w:pPr>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JB/T3688.2－1998《轮胎式装载机 技术条件》</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可紧急制动的辅助制动系统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标志</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安全阀检查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保护结构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护板和护罩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照明系统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报警系统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气、液压系统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电气系统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发动机</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通道装置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6"/>
                <w:sz w:val="24"/>
                <w:szCs w:val="24"/>
              </w:rPr>
              <w:t>操作手柄与相邻部件最小净宽距</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脚踏板前方和相邻部件最小净宽距</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脚踏板两侧和相邻部件最小净宽距</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司机手控范围其它部件相对距离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20"/>
                <w:sz w:val="24"/>
                <w:szCs w:val="24"/>
              </w:rPr>
              <w:t>司机室与最靠近司机室的操纵装置之间的间隙</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sectPr>
          <w:pgSz w:w="11906" w:h="16838"/>
          <w:pgMar w:top="1417" w:right="1417" w:bottom="1134" w:left="1417" w:header="851" w:footer="992" w:gutter="0"/>
          <w:cols w:space="720" w:num="1"/>
          <w:rtlGutter w:val="0"/>
          <w:docGrid w:type="lines" w:linePitch="318" w:charSpace="0"/>
        </w:sectPr>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p>
            <w:pPr>
              <w:pStyle w:val="7"/>
              <w:spacing w:line="240" w:lineRule="auto"/>
              <w:jc w:val="center"/>
              <w:rPr>
                <w:rFonts w:hint="eastAsia" w:ascii="仿宋" w:hAnsi="仿宋" w:eastAsia="仿宋" w:cs="仿宋"/>
                <w:color w:val="auto"/>
                <w:kern w:val="2"/>
                <w:sz w:val="24"/>
                <w:szCs w:val="24"/>
                <w:lang w:val="en-US" w:eastAsia="zh-CN" w:bidi="ar-SA"/>
              </w:rPr>
            </w:pPr>
          </w:p>
        </w:tc>
        <w:tc>
          <w:tcPr>
            <w:tcW w:w="1704" w:type="dxa"/>
            <w:vMerge w:val="restart"/>
            <w:tcBorders>
              <w:top w:val="single" w:color="auto" w:sz="4" w:space="0"/>
              <w:left w:val="nil"/>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轮胎式装载机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司机座椅标定点R</w:t>
            </w:r>
            <w:r>
              <w:rPr>
                <w:rFonts w:hint="eastAsia" w:ascii="仿宋" w:hAnsi="仿宋" w:eastAsia="仿宋" w:cs="仿宋"/>
                <w:color w:val="auto"/>
                <w:sz w:val="24"/>
                <w:szCs w:val="24"/>
                <w:vertAlign w:val="subscript"/>
              </w:rPr>
              <w:t>1</w:t>
            </w:r>
            <w:r>
              <w:rPr>
                <w:rFonts w:hint="eastAsia" w:ascii="仿宋" w:hAnsi="仿宋" w:eastAsia="仿宋" w:cs="仿宋"/>
                <w:color w:val="auto"/>
                <w:sz w:val="24"/>
                <w:szCs w:val="24"/>
              </w:rPr>
              <w:t>与司机室顶篷横截面之间的距离</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pacing w:val="-11"/>
                <w:kern w:val="0"/>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司机室容纳腿部的空间宽度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前臂/手不超出司机室上侧面范围的间隙</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液压缸大臂沉降量</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1704" w:type="dxa"/>
            <w:vMerge w:val="restart"/>
            <w:tcBorders>
              <w:top w:val="single" w:color="auto" w:sz="4" w:space="0"/>
              <w:left w:val="nil"/>
              <w:right w:val="single" w:color="auto" w:sz="4" w:space="0"/>
            </w:tcBorders>
            <w:noWrap w:val="0"/>
            <w:vAlign w:val="center"/>
          </w:tcPr>
          <w:p>
            <w:pPr>
              <w:pStyle w:val="7"/>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矿用辅助绞车</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深度指示器</w:t>
            </w:r>
          </w:p>
        </w:tc>
        <w:tc>
          <w:tcPr>
            <w:tcW w:w="1691" w:type="dxa"/>
            <w:vMerge w:val="restart"/>
            <w:tcBorders>
              <w:top w:val="single" w:color="auto" w:sz="4" w:space="0"/>
              <w:left w:val="nil"/>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GB20180-2006《矿用辅助绞车安全要求》</w:t>
            </w:r>
          </w:p>
          <w:p>
            <w:pPr>
              <w:autoSpaceDE w:val="0"/>
              <w:autoSpaceDN w:val="0"/>
              <w:adjustRightInd w:val="0"/>
              <w:spacing w:line="24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AQ2022-2008《金属非金属矿山在用提升绞车安全检测检验规范》</w:t>
            </w:r>
          </w:p>
          <w:p>
            <w:pPr>
              <w:spacing w:line="240" w:lineRule="auto"/>
              <w:jc w:val="center"/>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工作制动器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安全梯凿井绞车制动器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制动力矩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绞车运转情况</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主轴和卷筒缺陷</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挡绳板边缘高度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安全制动装置的空行程时间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操纵机构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手动操纵机构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绞车强度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密封性能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1704" w:type="dxa"/>
            <w:vMerge w:val="restart"/>
            <w:tcBorders>
              <w:top w:val="single" w:color="auto" w:sz="4" w:space="0"/>
              <w:left w:val="nil"/>
              <w:right w:val="single" w:color="auto" w:sz="4" w:space="0"/>
            </w:tcBorders>
            <w:noWrap w:val="0"/>
            <w:vAlign w:val="center"/>
          </w:tcPr>
          <w:p>
            <w:pPr>
              <w:pStyle w:val="7"/>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矿用辅助绞车</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制动闸瓦（带）与制动轮的接触面积</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pacing w:val="-11"/>
                <w:kern w:val="0"/>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制动闸瓦与制动轮松闸后的间隙</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防护装置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p>
        </w:tc>
        <w:tc>
          <w:tcPr>
            <w:tcW w:w="1704" w:type="dxa"/>
            <w:vMerge w:val="restart"/>
            <w:tcBorders>
              <w:top w:val="single" w:color="auto" w:sz="4" w:space="0"/>
              <w:left w:val="nil"/>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矿用挖掘机</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行走速度</w:t>
            </w:r>
          </w:p>
        </w:tc>
        <w:tc>
          <w:tcPr>
            <w:tcW w:w="1691" w:type="dxa"/>
            <w:vMerge w:val="restart"/>
            <w:tcBorders>
              <w:top w:val="single" w:color="auto" w:sz="4" w:space="0"/>
              <w:left w:val="nil"/>
              <w:right w:val="single" w:color="auto" w:sz="4" w:space="0"/>
            </w:tcBorders>
            <w:noWrap w:val="0"/>
            <w:vAlign w:val="center"/>
          </w:tcPr>
          <w:p>
            <w:pPr>
              <w:bidi w:val="0"/>
              <w:spacing w:line="24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GB/T10604-2017《矿用机械正铲式挖掘机》</w:t>
            </w:r>
          </w:p>
          <w:p>
            <w:pPr>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SA"/>
              </w:rPr>
              <w:t>GB/T9139-2018《土方机械 液压挖掘机 技术条件》</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8.2</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爬坡能力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8.3</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司机位置处噪声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灭火装置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8.5</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振动加速度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8.6</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8.7</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电路连锁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8.8</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安全保护装置</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地下铲运机</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制动性能</w:t>
            </w:r>
          </w:p>
        </w:tc>
        <w:tc>
          <w:tcPr>
            <w:tcW w:w="1691" w:type="dxa"/>
            <w:vMerge w:val="restart"/>
            <w:tcBorders>
              <w:top w:val="single" w:color="auto" w:sz="4" w:space="0"/>
              <w:left w:val="nil"/>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JB/T5500-2015《地下铲运机》</w:t>
            </w:r>
          </w:p>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JB8518-1997《地下铲运机安全要求》GB25518-2010《地下铲运机安全要求》</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爬坡能力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接地保护及绝缘电阻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柴油机废气排放</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灭火装置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6"/>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司机操作位置的噪声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电缆终端保护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动臂及前后车架绞接情况</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安全标志</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操纵性</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电缆同步卷放</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地下铲运机</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操纵力</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pacing w:val="-11"/>
                <w:kern w:val="0"/>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p>
        </w:tc>
        <w:tc>
          <w:tcPr>
            <w:tcW w:w="1704" w:type="dxa"/>
            <w:vMerge w:val="continue"/>
            <w:tcBorders>
              <w:left w:val="nil"/>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密封性</w:t>
            </w:r>
          </w:p>
        </w:tc>
        <w:tc>
          <w:tcPr>
            <w:tcW w:w="1691" w:type="dxa"/>
            <w:vMerge w:val="continue"/>
            <w:tcBorders>
              <w:left w:val="nil"/>
              <w:right w:val="single" w:color="auto" w:sz="4" w:space="0"/>
            </w:tcBorders>
            <w:noWrap w:val="0"/>
            <w:vAlign w:val="center"/>
          </w:tcPr>
          <w:p>
            <w:pPr>
              <w:spacing w:line="240" w:lineRule="auto"/>
              <w:rPr>
                <w:rFonts w:hint="eastAsia" w:ascii="仿宋" w:hAnsi="仿宋" w:eastAsia="仿宋" w:cs="仿宋"/>
                <w:color w:val="auto"/>
                <w:spacing w:val="-11"/>
                <w:kern w:val="0"/>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动臂油缸沉降量</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使用信息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sz w:val="24"/>
                <w:szCs w:val="24"/>
              </w:rPr>
            </w:pPr>
          </w:p>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矿用炮孔钻机</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制动性能</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GB21009-2007  《矿用炮孔钻机安全要求》  </w:t>
            </w:r>
          </w:p>
          <w:p>
            <w:pPr>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最大坡道上制动性能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辅助制动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钻架起落机构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钻机稳定性</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消防设施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照明设施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联锁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停机</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保护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控制装置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急停装置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气动装置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电气设备</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警告装置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司机位置噪声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司机室内温度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司机座垫处振动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司机室和机械间的粉尘浓度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废气</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链轮与链条</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sz w:val="24"/>
                <w:szCs w:val="24"/>
              </w:rPr>
            </w:pPr>
          </w:p>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矿用炮孔钻机</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工作平台入口</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安全防护</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restart"/>
            <w:tcBorders>
              <w:top w:val="single" w:color="auto" w:sz="4" w:space="0"/>
              <w:left w:val="nil"/>
              <w:right w:val="single" w:color="auto" w:sz="4" w:space="0"/>
            </w:tcBorders>
            <w:noWrap w:val="0"/>
            <w:vAlign w:val="center"/>
          </w:tcPr>
          <w:p>
            <w:pPr>
              <w:pStyle w:val="10"/>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带式输送机</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输送机安全保护装置</w:t>
            </w:r>
          </w:p>
        </w:tc>
        <w:tc>
          <w:tcPr>
            <w:tcW w:w="1691" w:type="dxa"/>
            <w:vMerge w:val="restart"/>
            <w:tcBorders>
              <w:top w:val="single" w:color="auto" w:sz="4" w:space="0"/>
              <w:left w:val="nil"/>
              <w:right w:val="single" w:color="auto" w:sz="4" w:space="0"/>
            </w:tcBorders>
            <w:noWrap w:val="0"/>
            <w:vAlign w:val="center"/>
          </w:tcPr>
          <w:p>
            <w:pPr>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GB14784-2013《带式输送机安全规范》</w:t>
            </w:r>
          </w:p>
          <w:p>
            <w:pPr>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GB16423-20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《金属非金属矿山安全规程》</w:t>
            </w:r>
          </w:p>
          <w:p>
            <w:pPr>
              <w:bidi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GB/T10595-2017《带式输送机》 </w:t>
            </w:r>
          </w:p>
          <w:p>
            <w:pPr>
              <w:spacing w:line="240" w:lineRule="auto"/>
              <w:jc w:val="center"/>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倾斜输送机防超速或逆转的安全装置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 xml:space="preserve">限位装置 </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 xml:space="preserve">护罩和漏斗延伸部分下边缘 </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移动输送机的安全保护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紧急制动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非阻燃带式输送机</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最大坡度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防护装置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制动要求</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11</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 xml:space="preserve">极限位置限制器  </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12</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卸料车止挡装置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13</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各种机电保护装置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运行检查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对中运行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操作人员耳边噪声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拉紧装置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输送带中心线与输送机中心线偏差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19</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带速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17"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val="en-US" w:eastAsia="zh-CN"/>
              </w:rPr>
              <w:t>11</w:t>
            </w:r>
          </w:p>
        </w:tc>
        <w:tc>
          <w:tcPr>
            <w:tcW w:w="1704" w:type="dxa"/>
            <w:tcBorders>
              <w:top w:val="single" w:color="auto" w:sz="4" w:space="0"/>
              <w:left w:val="nil"/>
              <w:right w:val="single" w:color="auto" w:sz="4" w:space="0"/>
            </w:tcBorders>
            <w:noWrap w:val="0"/>
            <w:vAlign w:val="center"/>
          </w:tcPr>
          <w:p>
            <w:pPr>
              <w:pStyle w:val="10"/>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带式输送机</w:t>
            </w: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0</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清扫器</w:t>
            </w:r>
          </w:p>
        </w:tc>
        <w:tc>
          <w:tcPr>
            <w:tcW w:w="1691" w:type="dxa"/>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p>
            <w:pPr>
              <w:pStyle w:val="2"/>
              <w:spacing w:line="240" w:lineRule="auto"/>
              <w:ind w:left="420" w:leftChars="200"/>
              <w:rPr>
                <w:rFonts w:hint="eastAsia" w:ascii="仿宋" w:hAnsi="仿宋" w:eastAsia="仿宋" w:cs="仿宋"/>
                <w:color w:val="auto"/>
                <w:kern w:val="2"/>
                <w:sz w:val="24"/>
                <w:szCs w:val="24"/>
                <w:lang w:val="en-US" w:eastAsia="zh-CN" w:bidi="ar-SA"/>
              </w:rPr>
            </w:pP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电机车</w:t>
            </w:r>
          </w:p>
          <w:p>
            <w:pPr>
              <w:spacing w:line="240" w:lineRule="auto"/>
              <w:jc w:val="center"/>
              <w:rPr>
                <w:rFonts w:hint="eastAsia" w:ascii="仿宋" w:hAnsi="仿宋" w:eastAsia="仿宋" w:cs="仿宋"/>
                <w:color w:val="auto"/>
                <w:kern w:val="2"/>
                <w:sz w:val="24"/>
                <w:szCs w:val="24"/>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单机制动距离</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GB16423-20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《金属非金属矿山安全规程》</w:t>
            </w:r>
          </w:p>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JB/T10772-2007《窄轨架线式工矿电机车通用技术条件》</w:t>
            </w:r>
          </w:p>
          <w:p>
            <w:pPr>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额定负载制动距离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最大牵引力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运行试验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电制动试验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警声转播距离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过载保护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绝缘电阻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头灯照射距离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撒</w:t>
            </w:r>
            <w:r>
              <w:rPr>
                <w:rFonts w:hint="eastAsia" w:ascii="仿宋" w:hAnsi="仿宋" w:eastAsia="仿宋" w:cs="仿宋"/>
                <w:color w:val="auto"/>
                <w:sz w:val="24"/>
                <w:szCs w:val="24"/>
                <w:lang w:eastAsia="zh-CN"/>
              </w:rPr>
              <w:t>砂</w:t>
            </w:r>
            <w:r>
              <w:rPr>
                <w:rFonts w:hint="eastAsia" w:ascii="仿宋" w:hAnsi="仿宋" w:eastAsia="仿宋" w:cs="仿宋"/>
                <w:color w:val="auto"/>
                <w:sz w:val="24"/>
                <w:szCs w:val="24"/>
              </w:rPr>
              <w:t>装置</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1704"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钢丝绳（在线检测）</w:t>
            </w: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磨损</w:t>
            </w:r>
          </w:p>
        </w:tc>
        <w:tc>
          <w:tcPr>
            <w:tcW w:w="1691" w:type="dxa"/>
            <w:vMerge w:val="restart"/>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GB16423-20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《金属非金属矿山安全规程》</w:t>
            </w:r>
            <w:r>
              <w:rPr>
                <w:rFonts w:hint="eastAsia" w:ascii="仿宋" w:hAnsi="仿宋" w:eastAsia="仿宋" w:cs="仿宋"/>
                <w:color w:val="auto"/>
                <w:kern w:val="2"/>
                <w:sz w:val="24"/>
                <w:szCs w:val="24"/>
                <w:lang w:val="en-US" w:eastAsia="zh-CN" w:bidi="ar-SA"/>
              </w:rPr>
              <w:t>MT/T970-2005 《钢丝绳（缆）在线无损定量检测方法和判定规则》</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断丝</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钢丝绳的锈蚀</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重要用途钢丝绳矿用产品安全标志的检查</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14</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摩擦式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机房或硐室的照明装置，司机操作位置处的照度，应急照明设施</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AQ2021-2008《金属非金属矿山在用摩擦式提升机安全检测检验规范》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操作位置处的噪声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14</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摩擦式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提升机机房或硐室内无爆炸介质，机房或硐室内环境温度、操作和维护空间</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影响安全的外露旋转构件（如联轴节、开式齿轮等）的防护装置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竖井用罐笼每层允许乘罐人数和最大载重量井口公布</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6"/>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机房或硐室不应存放易燃、易爆和有毒物品，机房或硐室配备的灭火器，设备的防护栅栏、警示牌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机房或硐室内悬挂的岗位责任制和操作规程以及提升机的技术特征、制动系统图、电气原理图等</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提升机的主轴和摩擦轮的缺陷</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14</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摩擦式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摩擦轮、天轮、导向轮的最小直径与钢丝绳直径之比</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摩擦轮、天轮、导向轮的最小直径与钢丝绳中最粗钢丝直径之比</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14.11</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提升机实际运行的最大速度及最大加速度、减速度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深度指示器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工作制动系统和安全制动系统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制动力矩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安全制动时的制动减速度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制动闸瓦与制动轮或制动盘的接触面积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闸瓦与制动轮或制动盘间的间隙值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安全制动装置的空动时间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制动轮的径向跳动或制动盘的端面跳动值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14</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摩擦式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制动轮或制动盘表面的沟纹</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制动盘两侧或制动轮上不应有降低摩擦系数的介质</w:t>
            </w:r>
          </w:p>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（如油、水等）</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液压站的过压保护装置、超温保护装置及油温温升和最高油温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液压站的残压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液压站的调压性能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-2757170</wp:posOffset>
                      </wp:positionH>
                      <wp:positionV relativeFrom="paragraph">
                        <wp:posOffset>254000</wp:posOffset>
                      </wp:positionV>
                      <wp:extent cx="373380" cy="666750"/>
                      <wp:effectExtent l="0" t="0" r="0" b="0"/>
                      <wp:wrapNone/>
                      <wp:docPr id="2" name="矩形 2"/>
                      <wp:cNvGraphicFramePr/>
                      <a:graphic xmlns:a="http://schemas.openxmlformats.org/drawingml/2006/main">
                        <a:graphicData uri="http://schemas.microsoft.com/office/word/2010/wordprocessingShape">
                          <wps:wsp>
                            <wps:cNvSpPr/>
                            <wps:spPr>
                              <a:xfrm>
                                <a:off x="0" y="0"/>
                                <a:ext cx="373380" cy="666750"/>
                              </a:xfrm>
                              <a:prstGeom prst="rect">
                                <a:avLst/>
                              </a:prstGeom>
                              <a:noFill/>
                              <a:ln w="25400" cap="flat" cmpd="sng" algn="ctr">
                                <a:noFill/>
                                <a:prstDash val="solid"/>
                              </a:ln>
                              <a:effectLst/>
                            </wps:spPr>
                            <wps:txbx>
                              <w:txbxContent>
                                <w:p>
                                  <w:pPr>
                                    <w:jc w:val="center"/>
                                    <w:rPr>
                                      <w:rFonts w:hint="eastAsia" w:eastAsia="宋体"/>
                                      <w:b w:val="0"/>
                                      <w:bCs w:val="0"/>
                                      <w:color w:val="auto"/>
                                      <w:lang w:val="en-US" w:eastAsia="zh-CN"/>
                                    </w:rPr>
                                  </w:pPr>
                                  <w:r>
                                    <w:rPr>
                                      <w:rFonts w:hint="eastAsia" w:ascii="宋体" w:hAnsi="宋体" w:eastAsia="宋体" w:cs="宋体"/>
                                      <w:color w:val="auto"/>
                                      <w:sz w:val="21"/>
                                      <w:szCs w:val="21"/>
                                      <w:lang w:val="en-US" w:eastAsia="zh-C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1pt;margin-top:20pt;height:52.5pt;width:29.4pt;z-index:251660288;v-text-anchor:middle;mso-width-relative:page;mso-height-relative:page;" filled="f" stroked="f" coordsize="21600,21600" o:gfxdata="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DQKej&#10;2gAAAAwBAAAPAAAAAAAAAAEAIAAAACIAAABkcnMvZG93bnJldi54bWxQSwECFAAUAAAACACHTuJA&#10;/8u5VVgCAACjBAAADgAAAAAAAAABACAAAAApAQAAZHJzL2Uyb0RvYy54bWxQSwUGAAAAAAYABgBZ&#10;AQAA8wUAAAAA&#10;">
                      <v:fill on="f" focussize="0,0"/>
                      <v:stroke on="f" weight="2pt"/>
                      <v:imagedata o:title=""/>
                      <o:lock v:ext="edit" aspectratio="f"/>
                      <v:textbox>
                        <w:txbxContent>
                          <w:p>
                            <w:pPr>
                              <w:jc w:val="center"/>
                              <w:rPr>
                                <w:rFonts w:hint="eastAsia" w:eastAsia="宋体"/>
                                <w:b w:val="0"/>
                                <w:bCs w:val="0"/>
                                <w:color w:val="auto"/>
                                <w:lang w:val="en-US" w:eastAsia="zh-CN"/>
                              </w:rPr>
                            </w:pPr>
                            <w:r>
                              <w:rPr>
                                <w:rFonts w:hint="eastAsia" w:ascii="宋体" w:hAnsi="宋体" w:eastAsia="宋体" w:cs="宋体"/>
                                <w:color w:val="auto"/>
                                <w:sz w:val="21"/>
                                <w:szCs w:val="21"/>
                                <w:lang w:val="en-US" w:eastAsia="zh-CN"/>
                              </w:rPr>
                              <w:t>1</w:t>
                            </w:r>
                          </w:p>
                        </w:txbxContent>
                      </v:textbox>
                    </v:rect>
                  </w:pict>
                </mc:Fallback>
              </mc:AlternateContent>
            </w: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过卷保护装置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过速保护装置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限速保护装置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闸间隙保护装置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29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减速功能保护装置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深度指示器失效保护装置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过负荷及无电压保护装置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14</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摩擦式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过卷保护装置、过速保护装置、限速保护装置和减速功能保护装置的双线形式</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33</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竖井罐笼提升系统和竖井箕斗提升系统的信号装置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升降人员和主要井口提升机信号装置的直接供电线路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信号回路闭锁情况</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提升机电动机的绝缘电阻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电动机、电控设备的外壳接地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14.</w:t>
            </w:r>
            <w:r>
              <w:rPr>
                <w:rFonts w:hint="eastAsia" w:ascii="仿宋" w:hAnsi="仿宋" w:eastAsia="仿宋" w:cs="仿宋"/>
                <w:color w:val="auto"/>
                <w:sz w:val="24"/>
                <w:szCs w:val="24"/>
              </w:rPr>
              <w:t>38</w:t>
            </w:r>
          </w:p>
        </w:tc>
        <w:tc>
          <w:tcPr>
            <w:tcW w:w="15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提升用钢丝绳必须采用取得矿用安全标志的重要用</w:t>
            </w:r>
          </w:p>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途钢丝绳</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zh-CN"/>
              </w:rPr>
              <w:t>竖井用提升机钢丝绳与提升容器的连接装置</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15</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缠绕式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机房或硐室的照明装置，司机位操作位置处的照度，应急照明设施</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AQ2020-2008《金属非金属矿山在用缠绕式提升机安全检测检验规范》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操作位置处的噪声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提升机机房或硐室内无爆炸介质，机房或硐室内的环境温度、操作和维护空间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影响安全的外露旋转构件（如联轴节、开式齿轮等）的防护装置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竖井罐笼允许乘罐人数和最大载重量井口公布</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6"/>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机房或硐室不应存放存放易燃、易爆和有毒物品，机房或硐室配备的灭火器，设备的防护栅栏、警示牌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15</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缠绕式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机房或硐室内悬挂的岗位责任制和操作规程以及提升机的技术特征、制动系统图、电气原理图等</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提升机的主轴和卷筒的缺陷</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提升机卷筒上缠绕钢丝绳的层数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卷筒上缠绕2层或2层以上钢丝绳时卷筒边缘的高度和带绳槽的衬垫</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20"/>
                <w:sz w:val="24"/>
                <w:szCs w:val="24"/>
              </w:rPr>
              <w:t>提升机的卷筒、</w:t>
            </w:r>
            <w:r>
              <w:rPr>
                <w:rFonts w:hint="eastAsia" w:ascii="仿宋" w:hAnsi="仿宋" w:eastAsia="仿宋" w:cs="仿宋"/>
                <w:color w:val="auto"/>
                <w:sz w:val="24"/>
                <w:szCs w:val="24"/>
              </w:rPr>
              <w:t>天轮的最小直径与钢丝绳直径比</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20"/>
                <w:sz w:val="24"/>
                <w:szCs w:val="24"/>
              </w:rPr>
              <w:t>提升机的天轮、卷筒上绕绳部分的最小直径与钢丝绳中最粗钢丝的直径之比</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钢丝绳绳头在卷筒上的固定</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天轮的轮缘高度及衬垫的固定和磨损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15</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缠绕式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提升机实际运行的最大速度及最大加速度、减速度</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钢丝绳最大静张力和最大静张力差的实际测算值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提升机的定车装置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提升机深度指示器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竖井单绳提升的乘人容器应装设防坠器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工作制动系统和安全制动系统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制动力矩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安全制动时的制动减速度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制动闸瓦与制动轮或制动盘的接触面积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闸瓦与制动轮或制动盘的间隙</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安全制动装置的空动时间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制动轮的径向跳动值或制动盘的端面跳动值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15</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缠绕式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制动轮或制动盘表面的沟纹</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制动盘两侧或制动轮上不应有降低摩擦系数的介质（如油、水等）</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29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液压站的过压保护装置、超温保护装置及油温温升和最高油温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液压站的残压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液压站的调压性能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32</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过卷保护装置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33</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过速保护装置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34</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限速保护装置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35</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闸间隙保护装置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36</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松绳保护装置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37</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减速功能保护装置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38</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深度指示器失效保护装置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39</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过负荷及无电压保护装置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15</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缠绕式</w:t>
            </w: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提升机</w:t>
            </w: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40</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过卷保护装置、过速保护装置、限速保护装置和减速功能保护装置的双线形式</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41</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竖井罐笼提升系统、竖井箕斗提升系统及斜井提升系统的信号装置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42</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升降人员和主要井口提升机的信号装置的直接供电线路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43</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信号回路闭锁情况</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44</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提升机电动机的绝缘电阻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45</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电动机、电控设备的外壳接地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46</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提升用钢丝绳必须采用取得矿用安全标志的重要用途钢丝绳</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47</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竖井用提升机钢丝绳与提升容器的连接装置</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16</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提升绞车</w:t>
            </w: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机房或硐室的照明装置，司机位操作位置处的照度，应急照明设施</w:t>
            </w:r>
          </w:p>
        </w:tc>
        <w:tc>
          <w:tcPr>
            <w:tcW w:w="1691" w:type="dxa"/>
            <w:vMerge w:val="restart"/>
            <w:tcBorders>
              <w:top w:val="single" w:color="auto" w:sz="4" w:space="0"/>
              <w:left w:val="nil"/>
              <w:right w:val="single" w:color="auto" w:sz="4" w:space="0"/>
            </w:tcBorders>
            <w:noWrap w:val="0"/>
            <w:vAlign w:val="center"/>
          </w:tcPr>
          <w:p>
            <w:pPr>
              <w:pStyle w:val="5"/>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AQ2022-2008</w:t>
            </w:r>
          </w:p>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《金属非金属矿山在用提升绞车安全检测检验规范》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bidi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操作位置处的噪声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机房或硐室内无爆炸介质，机房或硐室内环境温度、操作和维护空间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影响安全的外露旋转构件（如联轴节、开式齿轮等）的防护装置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竖井用罐笼每层允许乘罐人数和最大载重量井口公布</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机房或硐室不应存放存放易燃、易爆和有毒物品，机房或硐室配备的灭火器，设备的防护栅栏、警示牌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机房或硐室内悬挂岗位责任制和操作规程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提升绞车的主轴和卷筒的缺陷</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16</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提升绞车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提升绞车卷筒上缠绕钢丝绳的层数</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卷筒上缠绕2层或2层以上钢丝绳时卷筒边缘的高度和带绳槽的衬垫</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钢丝绳绳头在卷筒上的固定</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天轮的轮缘高度及衬垫的固定和磨损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提升绞车实际运行的最大速度及最大加速度、减速度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钢丝绳最大静张力和最大静张力差的实际测算值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提升绞车的定车装置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提升绞车深度指示器的要求</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-2757170</wp:posOffset>
                      </wp:positionH>
                      <wp:positionV relativeFrom="paragraph">
                        <wp:posOffset>1461770</wp:posOffset>
                      </wp:positionV>
                      <wp:extent cx="373380" cy="666750"/>
                      <wp:effectExtent l="0" t="0" r="0" b="0"/>
                      <wp:wrapNone/>
                      <wp:docPr id="49" name="矩形 49"/>
                      <wp:cNvGraphicFramePr/>
                      <a:graphic xmlns:a="http://schemas.openxmlformats.org/drawingml/2006/main">
                        <a:graphicData uri="http://schemas.microsoft.com/office/word/2010/wordprocessingShape">
                          <wps:wsp>
                            <wps:cNvSpPr/>
                            <wps:spPr>
                              <a:xfrm>
                                <a:off x="0" y="0"/>
                                <a:ext cx="373380" cy="666750"/>
                              </a:xfrm>
                              <a:prstGeom prst="rect">
                                <a:avLst/>
                              </a:prstGeom>
                              <a:noFill/>
                              <a:ln w="25400" cap="flat" cmpd="sng" algn="ctr">
                                <a:noFill/>
                                <a:prstDash val="solid"/>
                              </a:ln>
                              <a:effectLst/>
                            </wps:spPr>
                            <wps:txb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1pt;margin-top:115.1pt;height:52.5pt;width:29.4pt;z-index:251661312;v-text-anchor:middle;mso-width-relative:page;mso-height-relative:page;" filled="f" stroked="f" coordsize="21600,21600" o:gfxdata="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oWSUNwAAAANAQAADwAAAAAAAAABACAAAAAiAAAAZHJzL2Rvd25yZXYueG1sUEsBAhQAFAAAAAgA&#10;h07iQNOXkU1aAgAApQQAAA4AAAAAAAAAAQAgAAAAKwEAAGRycy9lMm9Eb2MueG1sUEsFBgAAAAAG&#10;AAYAWQEAAPcFAAAAAA==&#10;">
                      <v:fill on="f" focussize="0,0"/>
                      <v:stroke on="f" weight="2pt"/>
                      <v:imagedata o:title=""/>
                      <o:lock v:ext="edit" aspectratio="f"/>
                      <v:textbo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3</w:t>
                            </w:r>
                          </w:p>
                        </w:txbxContent>
                      </v:textbox>
                    </v:rect>
                  </w:pict>
                </mc:Fallback>
              </mc:AlternateContent>
            </w: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竖井单绳提升的乘人容器应装设防坠器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工作制动系统和安全制动系统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16</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提升绞车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提升绞车在制动状态时所产生的制动力矩</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提升绞车安全制动时的制动减速度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制动闸瓦与制动轮或制动盘的接触面积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闸瓦与制动轮或制动盘的间隙</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安全制动装置的空动时间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制动轮的径向跳动值或制动盘的端面跳动值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制动轮或制动盘表面的沟纹</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制动盘两侧或制动轮上不应有降低摩擦系数的介质（如油、水等）</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液压站的过压保护装置、超温保护装置及油温温升和最高油温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16</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矿井</w:t>
            </w:r>
            <w:r>
              <w:rPr>
                <w:rFonts w:hint="eastAsia" w:ascii="仿宋" w:hAnsi="仿宋" w:eastAsia="仿宋" w:cs="仿宋"/>
                <w:color w:val="auto"/>
                <w:sz w:val="24"/>
                <w:szCs w:val="24"/>
              </w:rPr>
              <w:t>提升绞车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液压站的残压</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29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液压站的调压性能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过卷保护装置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过负荷及无电压保护装置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深度指示器失效保护装置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竖井罐笼提升系统、竖井箕斗提升系统及斜井提升系统的信号装置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升降人员和主要井口提升机的信号装置的直接供电线路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-2757170</wp:posOffset>
                      </wp:positionH>
                      <wp:positionV relativeFrom="paragraph">
                        <wp:posOffset>520700</wp:posOffset>
                      </wp:positionV>
                      <wp:extent cx="373380" cy="666750"/>
                      <wp:effectExtent l="0" t="0" r="0" b="0"/>
                      <wp:wrapNone/>
                      <wp:docPr id="52" name="矩形 52"/>
                      <wp:cNvGraphicFramePr/>
                      <a:graphic xmlns:a="http://schemas.openxmlformats.org/drawingml/2006/main">
                        <a:graphicData uri="http://schemas.microsoft.com/office/word/2010/wordprocessingShape">
                          <wps:wsp>
                            <wps:cNvSpPr/>
                            <wps:spPr>
                              <a:xfrm>
                                <a:off x="0" y="0"/>
                                <a:ext cx="373380" cy="666750"/>
                              </a:xfrm>
                              <a:prstGeom prst="rect">
                                <a:avLst/>
                              </a:prstGeom>
                              <a:noFill/>
                              <a:ln w="25400" cap="flat" cmpd="sng" algn="ctr">
                                <a:noFill/>
                                <a:prstDash val="solid"/>
                              </a:ln>
                              <a:effectLst/>
                            </wps:spPr>
                            <wps:txb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1pt;margin-top:41pt;height:52.5pt;width:29.4pt;z-index:251662336;v-text-anchor:middle;mso-width-relative:page;mso-height-relative:page;" filled="f" stroked="f" coordsize="21600,21600" o:gfxdata="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O6C&#10;adoAAAAMAQAADwAAAAAAAAABACAAAAAiAAAAZHJzL2Rvd25yZXYueG1sUEsBAhQAFAAAAAgAh07i&#10;QLHSukhZAgAApQQAAA4AAAAAAAAAAQAgAAAAKQEAAGRycy9lMm9Eb2MueG1sUEsFBgAAAAAGAAYA&#10;WQEAAPQFAAAAAA==&#10;">
                      <v:fill on="f" focussize="0,0"/>
                      <v:stroke on="f" weight="2pt"/>
                      <v:imagedata o:title=""/>
                      <o:lock v:ext="edit" aspectratio="f"/>
                      <v:textbo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3</w:t>
                            </w:r>
                          </w:p>
                        </w:txbxContent>
                      </v:textbox>
                    </v:rect>
                  </w:pict>
                </mc:Fallback>
              </mc:AlternateContent>
            </w: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提升绞车电动机的绝缘电阻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电动机、电控设备的外壳接地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提升用钢丝绳必须采用取得矿用安全标志的重要用途钢丝绳</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16.</w:t>
            </w:r>
            <w:r>
              <w:rPr>
                <w:rFonts w:hint="eastAsia" w:ascii="仿宋" w:hAnsi="仿宋" w:eastAsia="仿宋" w:cs="仿宋"/>
                <w:color w:val="auto"/>
                <w:sz w:val="24"/>
                <w:szCs w:val="24"/>
              </w:rPr>
              <w:t>38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竖井用提升绞车钢丝绳与提升容器的连接装置</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17</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pacing w:val="-20"/>
                <w:sz w:val="24"/>
                <w:szCs w:val="24"/>
                <w:highlight w:val="none"/>
                <w:lang w:eastAsia="zh-CN"/>
              </w:rPr>
              <w:t>地下矿山无轨运人车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整机性能</w:t>
            </w:r>
          </w:p>
        </w:tc>
        <w:tc>
          <w:tcPr>
            <w:tcW w:w="1691" w:type="dxa"/>
            <w:vMerge w:val="restart"/>
            <w:tcBorders>
              <w:top w:val="single" w:color="auto" w:sz="4" w:space="0"/>
              <w:left w:val="nil"/>
              <w:right w:val="single" w:color="auto" w:sz="4" w:space="0"/>
            </w:tcBorders>
            <w:noWrap w:val="0"/>
            <w:vAlign w:val="center"/>
          </w:tcPr>
          <w:p>
            <w:pPr>
              <w:autoSpaceDE w:val="0"/>
              <w:autoSpaceDN w:val="0"/>
              <w:adjustRightInd w:val="0"/>
              <w:spacing w:line="240" w:lineRule="auto"/>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highlight w:val="none"/>
                <w:lang w:val="en-US" w:eastAsia="zh-CN"/>
              </w:rPr>
              <w:t>AQ2070-2019《金属非金属地下矿山无轨运人车辆安全技术要求》</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制动系统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操纵系统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传动系统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出口</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驾驶室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乘人车厢</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照明及信号装置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报警装置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尾气排放</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消防装置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安全保护装置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安全警示标志</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18</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提升</w:t>
            </w:r>
            <w:r>
              <w:rPr>
                <w:rFonts w:hint="eastAsia" w:ascii="仿宋" w:hAnsi="仿宋" w:eastAsia="仿宋" w:cs="仿宋"/>
                <w:color w:val="auto"/>
                <w:sz w:val="24"/>
                <w:szCs w:val="24"/>
              </w:rPr>
              <w:t>钢丝绳</w:t>
            </w: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钢丝绳产品质量保证或证明资料及矿用产品安全标志相关证明</w:t>
            </w:r>
          </w:p>
        </w:tc>
        <w:tc>
          <w:tcPr>
            <w:tcW w:w="1691" w:type="dxa"/>
            <w:vMerge w:val="restart"/>
            <w:tcBorders>
              <w:top w:val="single" w:color="auto" w:sz="4" w:space="0"/>
              <w:left w:val="nil"/>
              <w:right w:val="single" w:color="auto" w:sz="4" w:space="0"/>
            </w:tcBorders>
            <w:noWrap w:val="0"/>
            <w:vAlign w:val="center"/>
          </w:tcPr>
          <w:p>
            <w:pPr>
              <w:spacing w:line="240" w:lineRule="auto"/>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AQ2026-2010《金属非金属矿山提升钢丝绳检验规范》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提升钢丝绳应为重要用途钢丝绳</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钢丝绳直径或钢丝绳试样直径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18</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提升</w:t>
            </w:r>
            <w:r>
              <w:rPr>
                <w:rFonts w:hint="eastAsia" w:ascii="仿宋" w:hAnsi="仿宋" w:eastAsia="仿宋" w:cs="仿宋"/>
                <w:color w:val="auto"/>
                <w:sz w:val="24"/>
                <w:szCs w:val="24"/>
              </w:rPr>
              <w:t>钢丝绳</w:t>
            </w: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钢丝绳的外观结构、外观状况</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钢丝绳锈蚀、损伤和外层钢丝松动或断股检查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钢丝直径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钢丝的表面状态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钢丝反复弯曲试验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钢丝破断拉力检验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钢丝扭转试验（仅限于新钢丝绳悬挂前）</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不合格钢丝的断面积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安全系数</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19</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竖井</w:t>
            </w:r>
            <w:r>
              <w:rPr>
                <w:rFonts w:hint="eastAsia" w:ascii="仿宋" w:hAnsi="仿宋" w:eastAsia="仿宋" w:cs="仿宋"/>
                <w:color w:val="auto"/>
                <w:sz w:val="24"/>
                <w:szCs w:val="24"/>
              </w:rPr>
              <w:t>防坠器</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防坠器</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AQ2019－2008《金属非金属矿山竖井提升系统防坠器安全性能检测检验规范》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静负荷制动试验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静负荷试验抓捕器下滑距离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静负荷试验时缓冲绳不得有拉动现象</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脱钩试验制动情况</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脱钩试验两组抓捕机构制动时的动作时间差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19</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竖井</w:t>
            </w:r>
            <w:r>
              <w:rPr>
                <w:rFonts w:hint="eastAsia" w:ascii="仿宋" w:hAnsi="仿宋" w:eastAsia="仿宋" w:cs="仿宋"/>
                <w:color w:val="auto"/>
                <w:sz w:val="24"/>
                <w:szCs w:val="24"/>
              </w:rPr>
              <w:t>防坠器</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脱钩试验防坠器动作空行程时间</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脱钩试验防坠器下滑距离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脱钩试验时提升容器相对于井架下落高度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实际最大载重脱钩实验时缓冲绳从缓冲器中拉出的长度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脱钩试验时防坠器制动过程中的负加速度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脱钩试验时防坠器制动过程持续时间</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20</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斜井人车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车厢结构</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kern w:val="0"/>
                <w:sz w:val="24"/>
                <w:szCs w:val="24"/>
                <w:lang w:val="zh-CN"/>
              </w:rPr>
              <w:t>AQ2028-2010《矿山在用斜井人车安全性能检验规范》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车厢强度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部件完整性</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车厢内表面</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观察窗口</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舒适系数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保护栏杆或保护链</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防护措施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20</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斜井人车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操纵机构位置</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操纵结构完好要求</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主牵引杆</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开动弹簧和制动弹簧</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联接装置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制动缓冲部件</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支撑装置或减震装置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平道闭锁装置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制动装置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轮对</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变坡运行要求</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信号装置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信号牌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静止落闸试验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空行程时间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实际最大运行速度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全速落闸试验</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全速落闸试验后的要求</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.27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运行稳定性</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21</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接地装置</w:t>
            </w: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基本要求</w:t>
            </w:r>
          </w:p>
        </w:tc>
        <w:tc>
          <w:tcPr>
            <w:tcW w:w="1691" w:type="dxa"/>
            <w:vMerge w:val="restart"/>
            <w:tcBorders>
              <w:top w:val="single" w:color="auto" w:sz="4" w:space="0"/>
              <w:left w:val="nil"/>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GB16423-2020《金属非金属矿山安全规程》</w:t>
            </w:r>
          </w:p>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DL/T475-2017《接地装置特性参数测量导则》</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8.2</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检测周期</w:t>
            </w:r>
          </w:p>
        </w:tc>
        <w:tc>
          <w:tcPr>
            <w:tcW w:w="1691" w:type="dxa"/>
            <w:vMerge w:val="continue"/>
            <w:tcBorders>
              <w:left w:val="nil"/>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8.3</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接地形式</w:t>
            </w:r>
          </w:p>
        </w:tc>
        <w:tc>
          <w:tcPr>
            <w:tcW w:w="1691" w:type="dxa"/>
            <w:vMerge w:val="continue"/>
            <w:tcBorders>
              <w:left w:val="nil"/>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主接地极设置要求</w:t>
            </w:r>
          </w:p>
        </w:tc>
        <w:tc>
          <w:tcPr>
            <w:tcW w:w="1691" w:type="dxa"/>
            <w:vMerge w:val="continue"/>
            <w:tcBorders>
              <w:left w:val="nil"/>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8.5</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接地电阻</w:t>
            </w:r>
          </w:p>
        </w:tc>
        <w:tc>
          <w:tcPr>
            <w:tcW w:w="1691" w:type="dxa"/>
            <w:vMerge w:val="continue"/>
            <w:tcBorders>
              <w:left w:val="nil"/>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8.6</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接地装置要求</w:t>
            </w:r>
          </w:p>
        </w:tc>
        <w:tc>
          <w:tcPr>
            <w:tcW w:w="1691" w:type="dxa"/>
            <w:vMerge w:val="continue"/>
            <w:tcBorders>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22</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地下运矿车</w:t>
            </w: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.1</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整机几何参数</w:t>
            </w:r>
          </w:p>
        </w:tc>
        <w:tc>
          <w:tcPr>
            <w:tcW w:w="1691" w:type="dxa"/>
            <w:vMerge w:val="restart"/>
            <w:tcBorders>
              <w:top w:val="single" w:color="auto" w:sz="4" w:space="0"/>
              <w:left w:val="nil"/>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AQ2065-2018《地下运矿车安全检验规范》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.2</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最小</w:t>
            </w:r>
            <w:r>
              <w:rPr>
                <w:rFonts w:hint="eastAsia" w:ascii="仿宋" w:hAnsi="仿宋" w:eastAsia="仿宋" w:cs="仿宋"/>
                <w:color w:val="auto"/>
                <w:sz w:val="24"/>
                <w:szCs w:val="24"/>
                <w:highlight w:val="none"/>
              </w:rPr>
              <w:t>转弯半径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.3</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行驶速度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.4</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最大牵引力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.5</w:t>
            </w: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车厢升降性能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驾驶室</w:t>
            </w:r>
            <w:r>
              <w:rPr>
                <w:rFonts w:hint="eastAsia" w:ascii="仿宋" w:hAnsi="仿宋" w:eastAsia="仿宋" w:cs="仿宋"/>
                <w:color w:val="auto"/>
                <w:sz w:val="24"/>
                <w:szCs w:val="24"/>
                <w:highlight w:val="none"/>
                <w:lang w:eastAsia="zh-CN"/>
              </w:rPr>
              <w:t>或顶棚</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启动性能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操纵系统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消防装置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制动系统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传动系统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爬坡能力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-2710180</wp:posOffset>
                      </wp:positionH>
                      <wp:positionV relativeFrom="paragraph">
                        <wp:posOffset>133350</wp:posOffset>
                      </wp:positionV>
                      <wp:extent cx="271145" cy="447040"/>
                      <wp:effectExtent l="0" t="0" r="14605" b="10160"/>
                      <wp:wrapNone/>
                      <wp:docPr id="54" name="文本框 54"/>
                      <wp:cNvGraphicFramePr/>
                      <a:graphic xmlns:a="http://schemas.openxmlformats.org/drawingml/2006/main">
                        <a:graphicData uri="http://schemas.microsoft.com/office/word/2010/wordprocessingShape">
                          <wps:wsp>
                            <wps:cNvSpPr txBox="1"/>
                            <wps:spPr>
                              <a:xfrm>
                                <a:off x="838200" y="2980690"/>
                                <a:ext cx="271145" cy="447040"/>
                              </a:xfrm>
                              <a:prstGeom prst="rect">
                                <a:avLst/>
                              </a:prstGeom>
                              <a:solidFill>
                                <a:srgbClr val="FFFFFF"/>
                              </a:solidFill>
                              <a:ln w="6350">
                                <a:noFill/>
                              </a:ln>
                              <a:effectLst/>
                            </wps:spPr>
                            <wps:txbx>
                              <w:txbxContent>
                                <w:p>
                                  <w:r>
                                    <w:rPr>
                                      <w:rFonts w:hint="eastAsia" w:ascii="宋体" w:hAnsi="宋体" w:cs="宋体"/>
                                      <w:color w:val="auto"/>
                                      <w:sz w:val="21"/>
                                      <w:szCs w:val="21"/>
                                      <w:lang w:val="en-US" w:eastAsia="zh-CN"/>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4pt;margin-top:10.5pt;height:35.2pt;width:21.35pt;z-index:251663360;mso-width-relative:page;mso-height-relative:page;" fillcolor="#FFFFFF" filled="t" stroked="f" coordsize="21600,21600" o:gfxdata="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RZgsrWAAAACwEAAA8AAAAAAAAAAQAgAAAAIgAAAGRycy9kb3ducmV2LnhtbFBLAQIUABQA&#10;AAAIAIdO4kDcNMWtZAIAAKkEAAAOAAAAAAAAAAEAIAAAACUBAABkcnMvZTJvRG9jLnhtbFBLBQYA&#10;AAAABgAGAFkBAAD7BQAAAAA=&#10;">
                      <v:fill on="t" focussize="0,0"/>
                      <v:stroke on="f" weight="0.5pt"/>
                      <v:imagedata o:title=""/>
                      <o:lock v:ext="edit" aspectratio="f"/>
                      <v:textbox>
                        <w:txbxContent>
                          <w:p>
                            <w:r>
                              <w:rPr>
                                <w:rFonts w:hint="eastAsia" w:ascii="宋体" w:hAnsi="宋体" w:cs="宋体"/>
                                <w:color w:val="auto"/>
                                <w:sz w:val="21"/>
                                <w:szCs w:val="21"/>
                                <w:lang w:val="en-US" w:eastAsia="zh-CN"/>
                              </w:rPr>
                              <w:t>9</w:t>
                            </w:r>
                          </w:p>
                        </w:txbxContent>
                      </v:textbox>
                    </v:shape>
                  </w:pict>
                </mc:Fallback>
              </mc:AlternateContent>
            </w:r>
            <w:r>
              <w:rPr>
                <w:rFonts w:hint="eastAsia" w:ascii="仿宋" w:hAnsi="仿宋" w:eastAsia="仿宋" w:cs="仿宋"/>
                <w:color w:val="auto"/>
                <w:sz w:val="24"/>
                <w:szCs w:val="24"/>
                <w:lang w:val="en-US" w:eastAsia="zh-CN"/>
              </w:rPr>
              <w:t>2.13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照明及信号</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报警装置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rPr>
          <w:rFonts w:hint="eastAsia" w:eastAsia="宋体"/>
          <w:lang w:eastAsia="zh-CN"/>
        </w:rPr>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22</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地下运矿车</w:t>
            </w: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尾气排放</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安全保护装置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napToGrid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highlight w:val="none"/>
                <w:lang w:val="en-US" w:eastAsia="zh-CN"/>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安全警示标志</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23</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固定式</w:t>
            </w:r>
            <w:r>
              <w:rPr>
                <w:rFonts w:hint="eastAsia" w:ascii="仿宋" w:hAnsi="仿宋" w:eastAsia="仿宋" w:cs="仿宋"/>
                <w:color w:val="auto"/>
                <w:sz w:val="24"/>
                <w:szCs w:val="24"/>
              </w:rPr>
              <w:t>空气压缩机</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安装环境</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 2055-2016  《金属非金属矿山在用空气压缩机安全检验规范 第1部分：固定式空气压缩机》</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安全防护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20"/>
                <w:sz w:val="24"/>
                <w:szCs w:val="24"/>
              </w:rPr>
              <w:t>消防措施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值班机房噪声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润滑油闪点</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ind w:right="-115" w:rightChars="-5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润滑系统密封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润滑油压力表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润滑油欠压保护装置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润滑油超温保护装置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冷却系统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冷却器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储气罐</w:t>
            </w:r>
            <w:r>
              <w:rPr>
                <w:rFonts w:hint="eastAsia" w:ascii="仿宋" w:hAnsi="仿宋" w:eastAsia="仿宋" w:cs="仿宋"/>
                <w:color w:val="auto"/>
                <w:spacing w:val="-20"/>
                <w:sz w:val="24"/>
                <w:szCs w:val="24"/>
              </w:rPr>
              <w:t>安全装置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截止阀及储气罐压力释放装置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储气罐压力指示仪表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止回阀</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放空管</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储气罐温度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23</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固定式</w:t>
            </w:r>
            <w:r>
              <w:rPr>
                <w:rFonts w:hint="eastAsia" w:ascii="仿宋" w:hAnsi="仿宋" w:eastAsia="仿宋" w:cs="仿宋"/>
                <w:color w:val="auto"/>
                <w:sz w:val="24"/>
                <w:szCs w:val="24"/>
              </w:rPr>
              <w:t>空气压缩机</w:t>
            </w: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系统压力指示仪表</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排气压力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排气压力控制</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出口安全阀</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末级出口的安全阀</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排气超温保护装置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曲轴箱油温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停车复位</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运转状态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27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振动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转速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容积流量</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输入比功率</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输入电流</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24</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移动式</w:t>
            </w:r>
            <w:r>
              <w:rPr>
                <w:rFonts w:hint="eastAsia" w:ascii="仿宋" w:hAnsi="仿宋" w:eastAsia="仿宋" w:cs="仿宋"/>
                <w:color w:val="auto"/>
                <w:sz w:val="24"/>
                <w:szCs w:val="24"/>
              </w:rPr>
              <w:t>空气压缩机</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管路连接密封性</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 2056-2016  《金属非金属矿山在用空气压缩机安全检验规范 第2部分：移动式空气压缩机》</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安全防护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润滑油闪点</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润滑油压力表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润滑油欠压保护装置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润滑油超温保护装置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24</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移动式</w:t>
            </w:r>
            <w:r>
              <w:rPr>
                <w:rFonts w:hint="eastAsia" w:ascii="仿宋" w:hAnsi="仿宋" w:eastAsia="仿宋" w:cs="仿宋"/>
                <w:color w:val="auto"/>
                <w:sz w:val="24"/>
                <w:szCs w:val="24"/>
              </w:rPr>
              <w:t>空气压缩机</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冷却系统</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外接储气罐安全装置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截止阀及外接储气罐压力释放装置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外接储气罐压力指示仪表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止回阀</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放空管</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外接储气罐温度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压力指示仪表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排气压力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排气压力控制</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末级出口的安全阀</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排气超温保护装置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曲轴箱油温</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运转状态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转速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容积流量</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输入比功率</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napToGrid/>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输入电流</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25</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主</w:t>
            </w:r>
            <w:r>
              <w:rPr>
                <w:rFonts w:hint="eastAsia" w:ascii="仿宋" w:hAnsi="仿宋" w:eastAsia="仿宋" w:cs="仿宋"/>
                <w:color w:val="auto"/>
                <w:sz w:val="24"/>
                <w:szCs w:val="24"/>
              </w:rPr>
              <w:t>通风机</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矿用产品安全标志</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 2054-2016《金属非金属矿山在用主通风机系统安全检验规范》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零部件和紧固件</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25</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主</w:t>
            </w:r>
            <w:r>
              <w:rPr>
                <w:rFonts w:hint="eastAsia" w:ascii="仿宋" w:hAnsi="仿宋" w:eastAsia="仿宋" w:cs="仿宋"/>
                <w:color w:val="auto"/>
                <w:sz w:val="24"/>
                <w:szCs w:val="24"/>
              </w:rPr>
              <w:t>通风机</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刹车装置</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润滑系统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结构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电动机运行功率</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接地电阻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绝缘电阻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叶片径向间隙值</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mc:AlternateContent>
                <mc:Choice Requires="wps">
                  <w:drawing>
                    <wp:anchor distT="0" distB="0" distL="114300" distR="114300" simplePos="0" relativeHeight="251659264" behindDoc="1" locked="0" layoutInCell="1" allowOverlap="1">
                      <wp:simplePos x="0" y="0"/>
                      <wp:positionH relativeFrom="column">
                        <wp:posOffset>-2731770</wp:posOffset>
                      </wp:positionH>
                      <wp:positionV relativeFrom="paragraph">
                        <wp:posOffset>106680</wp:posOffset>
                      </wp:positionV>
                      <wp:extent cx="490220" cy="410210"/>
                      <wp:effectExtent l="0" t="0" r="5080" b="8890"/>
                      <wp:wrapNone/>
                      <wp:docPr id="64" name="文本框 64"/>
                      <wp:cNvGraphicFramePr/>
                      <a:graphic xmlns:a="http://schemas.openxmlformats.org/drawingml/2006/main">
                        <a:graphicData uri="http://schemas.microsoft.com/office/word/2010/wordprocessingShape">
                          <wps:wsp>
                            <wps:cNvSpPr txBox="1"/>
                            <wps:spPr>
                              <a:xfrm>
                                <a:off x="838200" y="2719705"/>
                                <a:ext cx="490220" cy="410210"/>
                              </a:xfrm>
                              <a:prstGeom prst="rect">
                                <a:avLst/>
                              </a:prstGeom>
                              <a:solidFill>
                                <a:srgbClr val="FFFFFF"/>
                              </a:solidFill>
                              <a:ln w="6350">
                                <a:noFill/>
                              </a:ln>
                              <a:effectLst/>
                            </wps:spPr>
                            <wps:txbx>
                              <w:txbxContent>
                                <w:p>
                                  <w:r>
                                    <w:rPr>
                                      <w:rFonts w:hint="eastAsia" w:ascii="宋体" w:hAnsi="宋体" w:cs="宋体"/>
                                      <w:color w:val="auto"/>
                                      <w:sz w:val="21"/>
                                      <w:szCs w:val="21"/>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1pt;margin-top:8.4pt;height:32.3pt;width:38.6pt;z-index:-251657216;mso-width-relative:page;mso-height-relative:page;" fillcolor="#FFFFFF" filled="t" stroked="f" coordsize="21600,21600" o:gfxdata="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lMLjtYAAAALAQAADwAAAAAAAAABACAAAAAiAAAAZHJzL2Rvd25yZXYueG1sUEsBAhQAFAAA&#10;AAgAh07iQCY3iMdjAgAAqQQAAA4AAAAAAAAAAQAgAAAAJQEAAGRycy9lMm9Eb2MueG1sUEsFBgAA&#10;AAAGAAYAWQEAAPoFAAAAAA==&#10;">
                      <v:fill on="t" focussize="0,0"/>
                      <v:stroke on="f" weight="0.5pt"/>
                      <v:imagedata o:title=""/>
                      <o:lock v:ext="edit" aspectratio="f"/>
                      <v:textbox>
                        <w:txbxContent>
                          <w:p>
                            <w:r>
                              <w:rPr>
                                <w:rFonts w:hint="eastAsia" w:ascii="宋体" w:hAnsi="宋体" w:cs="宋体"/>
                                <w:color w:val="auto"/>
                                <w:sz w:val="21"/>
                                <w:szCs w:val="21"/>
                                <w:lang w:val="en-US" w:eastAsia="zh-CN"/>
                              </w:rPr>
                              <w:t>12</w:t>
                            </w:r>
                          </w:p>
                        </w:txbxContent>
                      </v:textbox>
                    </v:shape>
                  </w:pict>
                </mc:Fallback>
              </mc:AlternateConten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安全保护及设施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监测用仪器仪表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振动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备用电动机</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7"/>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轴承温度</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效率</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26</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主排水泵、</w:t>
            </w:r>
            <w:r>
              <w:rPr>
                <w:rFonts w:hint="eastAsia" w:ascii="仿宋" w:hAnsi="仿宋" w:eastAsia="仿宋" w:cs="仿宋"/>
                <w:color w:val="auto"/>
                <w:sz w:val="24"/>
                <w:szCs w:val="24"/>
              </w:rPr>
              <w:t>排水系统</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机房温度</w:t>
            </w:r>
          </w:p>
        </w:tc>
        <w:tc>
          <w:tcPr>
            <w:tcW w:w="1691"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AQ2029-2010《金属非金属地下矿山主排水系统安全检验规范》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照明设施</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值班位置噪声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接地电阻</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排水泵起动时间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振动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排水泵噪声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26</w:t>
            </w:r>
          </w:p>
        </w:tc>
        <w:tc>
          <w:tcPr>
            <w:tcW w:w="1704"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lang w:eastAsia="zh-CN"/>
              </w:rPr>
              <w:t>主排水泵、</w:t>
            </w:r>
            <w:r>
              <w:rPr>
                <w:rFonts w:hint="eastAsia" w:ascii="仿宋" w:hAnsi="仿宋" w:eastAsia="仿宋" w:cs="仿宋"/>
                <w:color w:val="auto"/>
                <w:sz w:val="24"/>
                <w:szCs w:val="24"/>
              </w:rPr>
              <w:t>排水系统</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排水泵转速</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电动机输入电流</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.10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排水泵的排水能力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-2772410</wp:posOffset>
                      </wp:positionH>
                      <wp:positionV relativeFrom="paragraph">
                        <wp:posOffset>226060</wp:posOffset>
                      </wp:positionV>
                      <wp:extent cx="373380" cy="666750"/>
                      <wp:effectExtent l="0" t="0" r="0" b="0"/>
                      <wp:wrapNone/>
                      <wp:docPr id="67" name="矩形 67"/>
                      <wp:cNvGraphicFramePr/>
                      <a:graphic xmlns:a="http://schemas.openxmlformats.org/drawingml/2006/main">
                        <a:graphicData uri="http://schemas.microsoft.com/office/word/2010/wordprocessingShape">
                          <wps:wsp>
                            <wps:cNvSpPr/>
                            <wps:spPr>
                              <a:xfrm>
                                <a:off x="0" y="0"/>
                                <a:ext cx="373380" cy="666750"/>
                              </a:xfrm>
                              <a:prstGeom prst="rect">
                                <a:avLst/>
                              </a:prstGeom>
                              <a:noFill/>
                              <a:ln w="25400" cap="flat" cmpd="sng" algn="ctr">
                                <a:noFill/>
                                <a:prstDash val="solid"/>
                              </a:ln>
                              <a:effectLst/>
                            </wps:spPr>
                            <wps:txb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13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3pt;margin-top:17.8pt;height:52.5pt;width:29.4pt;z-index:251664384;v-text-anchor:middle;mso-width-relative:page;mso-height-relative:page;" filled="f" stroked="f" coordsize="21600,21600" o:gfxdata="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mb&#10;EuDaAAAADAEAAA8AAAAAAAAAAQAgAAAAIgAAAGRycy9kb3ducmV2LnhtbFBLAQIUABQAAAAIAIdO&#10;4kCf52pTWgIAAKUEAAAOAAAAAAAAAAEAIAAAACkBAABkcnMvZTJvRG9jLnhtbFBLBQYAAAAABgAG&#10;AFkBAAD1BQAAAAA=&#10;">
                      <v:fill on="f" focussize="0,0"/>
                      <v:stroke on="f" weight="2pt"/>
                      <v:imagedata o:title=""/>
                      <o:lock v:ext="edit" aspectratio="f"/>
                      <v:textbo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13</w:t>
                            </w:r>
                          </w:p>
                        </w:txbxContent>
                      </v:textbox>
                    </v:rect>
                  </w:pict>
                </mc:Fallback>
              </mc:AlternateConten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排水管路排水能力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排水泵扬程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运行工况点效率</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吨水百米电耗</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排水泵性能曲线</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运行状况</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27</w:t>
            </w:r>
          </w:p>
        </w:tc>
        <w:tc>
          <w:tcPr>
            <w:tcW w:w="1704" w:type="dxa"/>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highlight w:val="none"/>
                <w:lang w:eastAsia="zh-CN"/>
              </w:rPr>
              <w:t>监控监测系统（包括传感器）</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1</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一般要求</w:t>
            </w:r>
          </w:p>
        </w:tc>
        <w:tc>
          <w:tcPr>
            <w:tcW w:w="1691" w:type="dxa"/>
            <w:vMerge w:val="restart"/>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AQ/T2053-2016《金属非金属地下矿山监测监控系统通用技术要求》</w:t>
            </w:r>
          </w:p>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highlight w:val="none"/>
                <w:lang w:val="en-US" w:eastAsia="zh-CN"/>
              </w:rPr>
              <w:t>AQ2031-2011《金属非金属地下矿山监测监控系统建设规范》</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2</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有毒有害气体监测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通风系统监测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4</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视频监控</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5</w:t>
            </w:r>
          </w:p>
        </w:tc>
        <w:tc>
          <w:tcPr>
            <w:tcW w:w="1559" w:type="dxa"/>
            <w:tcBorders>
              <w:top w:val="single" w:color="auto" w:sz="4" w:space="0"/>
              <w:left w:val="nil"/>
              <w:bottom w:val="single" w:color="auto" w:sz="4" w:space="0"/>
              <w:right w:val="single" w:color="auto" w:sz="4" w:space="0"/>
            </w:tcBorders>
            <w:noWrap w:val="0"/>
            <w:vAlign w:val="center"/>
          </w:tcPr>
          <w:p>
            <w:pPr>
              <w:pStyle w:val="5"/>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rPr>
              <w:t>地压监测</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28</w:t>
            </w:r>
          </w:p>
        </w:tc>
        <w:tc>
          <w:tcPr>
            <w:tcW w:w="1704"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矿用自卸汽车</w:t>
            </w: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产品标牌</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color w:val="auto"/>
                <w:kern w:val="0"/>
                <w:sz w:val="24"/>
                <w:szCs w:val="24"/>
              </w:rPr>
              <w:t>AQ2027－2010</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金属非金属露天矿山在用矿用自卸汽车安全检验规范</w:t>
            </w:r>
            <w:r>
              <w:rPr>
                <w:rFonts w:hint="eastAsia" w:ascii="仿宋" w:hAnsi="仿宋" w:eastAsia="仿宋" w:cs="仿宋"/>
                <w:color w:val="auto"/>
                <w:sz w:val="24"/>
                <w:szCs w:val="24"/>
              </w:rPr>
              <w:t>》</w:t>
            </w:r>
          </w:p>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外观</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漏水检查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4</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漏油检查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28</w:t>
            </w:r>
          </w:p>
        </w:tc>
        <w:tc>
          <w:tcPr>
            <w:tcW w:w="1704" w:type="dxa"/>
            <w:vMerge w:val="restart"/>
            <w:tcBorders>
              <w:left w:val="nil"/>
              <w:right w:val="single" w:color="auto" w:sz="4" w:space="0"/>
            </w:tcBorders>
            <w:noWrap w:val="0"/>
            <w:vAlign w:val="center"/>
          </w:tcPr>
          <w:p>
            <w:pPr>
              <w:spacing w:line="240" w:lineRule="auto"/>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矿用自卸汽车</w:t>
            </w: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5</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车速表指示误差</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6</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最小转弯直径</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7</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柴油机起动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8</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柴油机运转</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9</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柴油机加、减速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柴油机停机装置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eastAsia="zh-CN"/>
              </w:rPr>
              <w:t>11</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转向系统</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28.12</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方向盘操纵力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28.13</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2"/>
                <w:kern w:val="0"/>
                <w:sz w:val="24"/>
                <w:szCs w:val="24"/>
              </w:rPr>
              <w:t>方向盘自由行程</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14</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kern w:val="0"/>
                <w:sz w:val="24"/>
                <w:szCs w:val="24"/>
              </w:rPr>
              <w:t>转向轮自动回正</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15</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kern w:val="0"/>
                <w:sz w:val="24"/>
                <w:szCs w:val="24"/>
              </w:rPr>
              <w:t>应急转向装置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-2743835</wp:posOffset>
                      </wp:positionH>
                      <wp:positionV relativeFrom="paragraph">
                        <wp:posOffset>-31115</wp:posOffset>
                      </wp:positionV>
                      <wp:extent cx="373380" cy="666750"/>
                      <wp:effectExtent l="0" t="0" r="0" b="0"/>
                      <wp:wrapNone/>
                      <wp:docPr id="73" name="矩形 73"/>
                      <wp:cNvGraphicFramePr/>
                      <a:graphic xmlns:a="http://schemas.openxmlformats.org/drawingml/2006/main">
                        <a:graphicData uri="http://schemas.microsoft.com/office/word/2010/wordprocessingShape">
                          <wps:wsp>
                            <wps:cNvSpPr/>
                            <wps:spPr>
                              <a:xfrm>
                                <a:off x="0" y="0"/>
                                <a:ext cx="373380" cy="666750"/>
                              </a:xfrm>
                              <a:prstGeom prst="rect">
                                <a:avLst/>
                              </a:prstGeom>
                              <a:noFill/>
                              <a:ln w="25400" cap="flat" cmpd="sng" algn="ctr">
                                <a:noFill/>
                                <a:prstDash val="solid"/>
                              </a:ln>
                              <a:effectLst/>
                            </wps:spPr>
                            <wps:txb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15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05pt;margin-top:-2.45pt;height:52.5pt;width:29.4pt;z-index:251665408;v-text-anchor:middle;mso-width-relative:page;mso-height-relative:page;" filled="f" stroked="f" coordsize="21600,21600" o:gfxdata="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iZ&#10;Dw7aAAAADAEAAA8AAAAAAAAAAQAgAAAAIgAAAGRycy9kb3ducmV2LnhtbFBLAQIUABQAAAAIAIdO&#10;4kDo4IJeWgIAAKUEAAAOAAAAAAAAAAEAIAAAACkBAABkcnMvZTJvRG9jLnhtbFBLBQYAAAAABgAG&#10;AFkBAAD1BQAAAAA=&#10;">
                      <v:fill on="f" focussize="0,0"/>
                      <v:stroke on="f" weight="2pt"/>
                      <v:imagedata o:title=""/>
                      <o:lock v:ext="edit" aspectratio="f"/>
                      <v:textbox>
                        <w:txbxContent>
                          <w:p>
                            <w:pPr>
                              <w:jc w:val="center"/>
                              <w:rPr>
                                <w:rFonts w:hint="default" w:eastAsia="宋体"/>
                                <w:b w:val="0"/>
                                <w:bCs w:val="0"/>
                                <w:color w:val="auto"/>
                                <w:lang w:val="en-US" w:eastAsia="zh-CN"/>
                              </w:rPr>
                            </w:pPr>
                            <w:r>
                              <w:rPr>
                                <w:rFonts w:hint="eastAsia" w:ascii="宋体" w:hAnsi="宋体" w:eastAsia="宋体" w:cs="宋体"/>
                                <w:color w:val="auto"/>
                                <w:sz w:val="21"/>
                                <w:szCs w:val="21"/>
                                <w:lang w:val="en-US" w:eastAsia="zh-CN"/>
                              </w:rPr>
                              <w:t>15</w:t>
                            </w:r>
                          </w:p>
                        </w:txbxContent>
                      </v:textbox>
                    </v:rect>
                  </w:pict>
                </mc:Fallback>
              </mc:AlternateContent>
            </w:r>
            <w:r>
              <w:rPr>
                <w:rFonts w:hint="eastAsia" w:ascii="仿宋" w:hAnsi="仿宋" w:eastAsia="仿宋" w:cs="仿宋"/>
                <w:color w:val="auto"/>
                <w:sz w:val="24"/>
                <w:szCs w:val="24"/>
              </w:rPr>
              <w:t>16</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kern w:val="0"/>
                <w:sz w:val="24"/>
                <w:szCs w:val="24"/>
              </w:rPr>
              <w:t>制动装置配置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17</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2"/>
                <w:kern w:val="0"/>
                <w:sz w:val="24"/>
                <w:szCs w:val="24"/>
              </w:rPr>
              <w:t>行车制动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4"/>
              <w:spacing w:line="240"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18</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应急制动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19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停车制动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灯光设置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前、后转向信号灯、危险警告信号及制动灯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前照灯</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喇叭</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4"/>
        <w:gridCol w:w="848"/>
        <w:gridCol w:w="1559"/>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28</w:t>
            </w:r>
          </w:p>
        </w:tc>
        <w:tc>
          <w:tcPr>
            <w:tcW w:w="1704" w:type="dxa"/>
            <w:vMerge w:val="restart"/>
            <w:tcBorders>
              <w:left w:val="nil"/>
              <w:right w:val="single" w:color="auto" w:sz="4" w:space="0"/>
            </w:tcBorders>
            <w:noWrap w:val="0"/>
            <w:vAlign w:val="center"/>
          </w:tcPr>
          <w:p>
            <w:pPr>
              <w:spacing w:line="240" w:lineRule="auto"/>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矿用自卸汽车</w:t>
            </w: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轮胎</w:t>
            </w:r>
          </w:p>
        </w:tc>
        <w:tc>
          <w:tcPr>
            <w:tcW w:w="1691" w:type="dxa"/>
            <w:vMerge w:val="restart"/>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车架、车桥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离合器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变速器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传动轴</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29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驱动桥</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30</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车身和驾驶室</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31</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车门和车窗</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32</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空气调节装置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后视镜</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34</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刮水器</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35</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灭火装置</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36</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保护板</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37</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尾气排放</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38</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驾驶员耳边噪声</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39</w:t>
            </w:r>
          </w:p>
        </w:tc>
        <w:tc>
          <w:tcPr>
            <w:tcW w:w="1559"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自卸机构</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89"/>
        <w:gridCol w:w="315"/>
        <w:gridCol w:w="848"/>
        <w:gridCol w:w="1044"/>
        <w:gridCol w:w="515"/>
        <w:gridCol w:w="1691"/>
        <w:gridCol w:w="95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704"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被检对象</w:t>
            </w:r>
          </w:p>
        </w:tc>
        <w:tc>
          <w:tcPr>
            <w:tcW w:w="240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项目/参数</w:t>
            </w:r>
          </w:p>
        </w:tc>
        <w:tc>
          <w:tcPr>
            <w:tcW w:w="169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依据标准</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编号及名称</w:t>
            </w:r>
          </w:p>
        </w:tc>
        <w:tc>
          <w:tcPr>
            <w:tcW w:w="95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default" w:ascii="仿宋_GB2312" w:hAnsi="宋体 ! important" w:eastAsia="仿宋_GB2312" w:cs="仿宋_GB2312"/>
                <w:kern w:val="2"/>
                <w:sz w:val="24"/>
                <w:szCs w:val="24"/>
                <w:lang w:val="en-US" w:eastAsia="zh-CN" w:bidi="ar"/>
              </w:rPr>
            </w:pPr>
            <w:r>
              <w:rPr>
                <w:rFonts w:hint="default" w:ascii="仿宋_GB2312" w:hAnsi="宋体 ! important" w:eastAsia="仿宋_GB2312" w:cs="仿宋_GB2312"/>
                <w:kern w:val="2"/>
                <w:sz w:val="24"/>
                <w:szCs w:val="24"/>
                <w:lang w:val="en-US" w:eastAsia="zh-CN" w:bidi="ar"/>
              </w:rPr>
              <w:t>限制</w:t>
            </w:r>
          </w:p>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范围</w:t>
            </w:r>
          </w:p>
        </w:tc>
        <w:tc>
          <w:tcPr>
            <w:tcW w:w="144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704"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15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名称</w:t>
            </w:r>
          </w:p>
        </w:tc>
        <w:tc>
          <w:tcPr>
            <w:tcW w:w="1691"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950"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c>
          <w:tcPr>
            <w:tcW w:w="1446" w:type="dxa"/>
            <w:vMerge w:val="continue"/>
            <w:tcBorders>
              <w:top w:val="single" w:color="auto" w:sz="4" w:space="0"/>
              <w:left w:val="nil"/>
              <w:bottom w:val="single" w:color="auto" w:sz="4" w:space="0"/>
              <w:right w:val="single" w:color="auto" w:sz="4" w:space="0"/>
            </w:tcBorders>
            <w:noWrap w:val="0"/>
            <w:vAlign w:val="center"/>
          </w:tcPr>
          <w:p>
            <w:pPr>
              <w:rPr>
                <w:rFonts w:hint="default" w:ascii="宋体 ! important" w:hAnsi="宋体 ! important" w:eastAsia="宋体 ! important" w:cs="宋体 ! importan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29</w:t>
            </w:r>
          </w:p>
        </w:tc>
        <w:tc>
          <w:tcPr>
            <w:tcW w:w="1704" w:type="dxa"/>
            <w:gridSpan w:val="2"/>
            <w:vMerge w:val="restart"/>
            <w:tcBorders>
              <w:top w:val="single" w:color="auto" w:sz="4" w:space="0"/>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通风系统</w:t>
            </w: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29.1</w:t>
            </w:r>
          </w:p>
        </w:tc>
        <w:tc>
          <w:tcPr>
            <w:tcW w:w="1559"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风量分配情况，包括矿井总进风量、总回风量、各中段进、回量，井下需风点风量和主要漏风点风量</w:t>
            </w:r>
          </w:p>
        </w:tc>
        <w:tc>
          <w:tcPr>
            <w:tcW w:w="1691" w:type="dxa"/>
            <w:vMerge w:val="restart"/>
            <w:tcBorders>
              <w:top w:val="single" w:color="auto" w:sz="4" w:space="0"/>
              <w:left w:val="nil"/>
              <w:right w:val="single" w:color="auto" w:sz="4" w:space="0"/>
            </w:tcBorders>
            <w:noWrap w:val="0"/>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AQ20</w:t>
            </w:r>
            <w:r>
              <w:rPr>
                <w:rFonts w:hint="eastAsia" w:ascii="仿宋" w:hAnsi="仿宋" w:eastAsia="仿宋" w:cs="仿宋"/>
                <w:color w:val="auto"/>
                <w:sz w:val="24"/>
                <w:szCs w:val="24"/>
                <w:lang w:eastAsia="zh-CN"/>
              </w:rPr>
              <w:t>25.</w:t>
            </w:r>
            <w:r>
              <w:rPr>
                <w:rFonts w:hint="eastAsia" w:ascii="仿宋" w:hAnsi="仿宋" w:eastAsia="仿宋" w:cs="仿宋"/>
                <w:color w:val="auto"/>
                <w:sz w:val="24"/>
                <w:szCs w:val="24"/>
              </w:rPr>
              <w:t>3-200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《金属非金属地下矿山通风技术规范 通风系统检测》</w:t>
            </w:r>
          </w:p>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rPr>
              <w:t>AQ20</w:t>
            </w:r>
            <w:r>
              <w:rPr>
                <w:rFonts w:hint="eastAsia" w:ascii="仿宋" w:hAnsi="仿宋" w:eastAsia="仿宋" w:cs="仿宋"/>
                <w:color w:val="auto"/>
                <w:sz w:val="24"/>
                <w:szCs w:val="24"/>
                <w:lang w:eastAsia="zh-CN"/>
              </w:rPr>
              <w:t>25.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-200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《金属非金属地下矿山通风技术规范 通风系统</w:t>
            </w:r>
            <w:r>
              <w:rPr>
                <w:rFonts w:hint="eastAsia" w:ascii="仿宋" w:hAnsi="仿宋" w:eastAsia="仿宋" w:cs="仿宋"/>
                <w:color w:val="auto"/>
                <w:sz w:val="24"/>
                <w:szCs w:val="24"/>
                <w:lang w:eastAsia="zh-CN"/>
              </w:rPr>
              <w:t>鉴定指标</w:t>
            </w:r>
            <w:r>
              <w:rPr>
                <w:rFonts w:hint="eastAsia" w:ascii="仿宋" w:hAnsi="仿宋" w:eastAsia="仿宋" w:cs="仿宋"/>
                <w:color w:val="auto"/>
                <w:sz w:val="24"/>
                <w:szCs w:val="24"/>
              </w:rPr>
              <w:t>》</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gridSpan w:val="2"/>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29.2</w:t>
            </w:r>
          </w:p>
        </w:tc>
        <w:tc>
          <w:tcPr>
            <w:tcW w:w="1559"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风压分布情况，包括主要进风井巷和主要回风井巷的阻力损失，机战风压和一条从入风井巷进风口到回风井巷的出风口的主要通风路线的风压变化及矿井总阻力</w:t>
            </w:r>
          </w:p>
        </w:tc>
        <w:tc>
          <w:tcPr>
            <w:tcW w:w="1691" w:type="dxa"/>
            <w:vMerge w:val="continue"/>
            <w:tcBorders>
              <w:left w:val="nil"/>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704" w:type="dxa"/>
            <w:gridSpan w:val="2"/>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848" w:type="dxa"/>
            <w:tcBorders>
              <w:top w:val="single" w:color="auto" w:sz="4" w:space="0"/>
              <w:left w:val="nil"/>
              <w:bottom w:val="single" w:color="auto" w:sz="4" w:space="0"/>
              <w:right w:val="single" w:color="auto" w:sz="4" w:space="0"/>
            </w:tcBorders>
            <w:noWrap w:val="0"/>
            <w:vAlign w:val="center"/>
          </w:tcPr>
          <w:p>
            <w:pPr>
              <w:pStyle w:val="5"/>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29.3</w:t>
            </w:r>
          </w:p>
        </w:tc>
        <w:tc>
          <w:tcPr>
            <w:tcW w:w="1559"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通风机工况，包括风机风量，风压和电机实耗功率</w:t>
            </w:r>
          </w:p>
        </w:tc>
        <w:tc>
          <w:tcPr>
            <w:tcW w:w="1691"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c>
          <w:tcPr>
            <w:tcW w:w="14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1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批准的授权签字人及授权签字领域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序号</w:t>
            </w:r>
          </w:p>
        </w:tc>
        <w:tc>
          <w:tcPr>
            <w:tcW w:w="25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姓名</w:t>
            </w:r>
          </w:p>
        </w:tc>
        <w:tc>
          <w:tcPr>
            <w:tcW w:w="564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授权签字领域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default"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1</w:t>
            </w:r>
          </w:p>
        </w:tc>
        <w:tc>
          <w:tcPr>
            <w:tcW w:w="25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ascii="Calibri" w:hAnsi="Calibri" w:eastAsia="宋体" w:cs="Times New Roman"/>
                <w:kern w:val="2"/>
                <w:sz w:val="24"/>
                <w:szCs w:val="24"/>
                <w:lang w:val="en-US" w:eastAsia="zh-CN" w:bidi="ar-SA"/>
              </w:rPr>
            </w:pPr>
            <w:r>
              <w:rPr>
                <w:rFonts w:hint="eastAsia" w:ascii="仿宋_GB2312" w:hAnsi="宋体 ! important" w:eastAsia="仿宋_GB2312" w:cs="仿宋_GB2312"/>
                <w:kern w:val="2"/>
                <w:sz w:val="24"/>
                <w:szCs w:val="24"/>
                <w:lang w:val="en-US" w:eastAsia="zh-CN" w:bidi="ar"/>
              </w:rPr>
              <w:t>董喜梅</w:t>
            </w:r>
          </w:p>
        </w:tc>
        <w:tc>
          <w:tcPr>
            <w:tcW w:w="564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eastAsia"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批准的所有检测检验项目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default"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2</w:t>
            </w:r>
          </w:p>
        </w:tc>
        <w:tc>
          <w:tcPr>
            <w:tcW w:w="25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ascii="Calibri" w:hAnsi="Calibri" w:eastAsia="宋体" w:cs="Times New Roman"/>
                <w:kern w:val="2"/>
                <w:sz w:val="24"/>
                <w:szCs w:val="24"/>
                <w:lang w:val="en-US" w:eastAsia="zh-CN" w:bidi="ar-SA"/>
              </w:rPr>
            </w:pPr>
            <w:r>
              <w:rPr>
                <w:rFonts w:hint="eastAsia" w:ascii="仿宋_GB2312" w:hAnsi="宋体 ! important" w:eastAsia="仿宋_GB2312" w:cs="仿宋_GB2312"/>
                <w:kern w:val="2"/>
                <w:sz w:val="24"/>
                <w:szCs w:val="24"/>
                <w:lang w:val="en-US" w:eastAsia="zh-CN" w:bidi="ar"/>
              </w:rPr>
              <w:t>王国红</w:t>
            </w:r>
          </w:p>
        </w:tc>
        <w:tc>
          <w:tcPr>
            <w:tcW w:w="564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eastAsia"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批准的所有检测检验项目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default"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3</w:t>
            </w:r>
          </w:p>
        </w:tc>
        <w:tc>
          <w:tcPr>
            <w:tcW w:w="25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eastAsia"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曲大伟</w:t>
            </w:r>
          </w:p>
        </w:tc>
        <w:tc>
          <w:tcPr>
            <w:tcW w:w="564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leftChars="0" w:right="0" w:rightChars="0"/>
              <w:jc w:val="center"/>
              <w:rPr>
                <w:rFonts w:hint="eastAsia" w:ascii="仿宋_GB2312" w:hAnsi="宋体 ! important" w:eastAsia="仿宋_GB2312" w:cs="仿宋_GB2312"/>
                <w:kern w:val="2"/>
                <w:sz w:val="24"/>
                <w:szCs w:val="24"/>
                <w:lang w:val="en-US" w:eastAsia="zh-CN" w:bidi="ar"/>
              </w:rPr>
            </w:pPr>
            <w:r>
              <w:rPr>
                <w:rFonts w:hint="eastAsia" w:ascii="仿宋_GB2312" w:hAnsi="宋体 ! important" w:eastAsia="仿宋_GB2312" w:cs="仿宋_GB2312"/>
                <w:kern w:val="2"/>
                <w:sz w:val="24"/>
                <w:szCs w:val="24"/>
                <w:lang w:val="en-US" w:eastAsia="zh-CN" w:bidi="ar"/>
              </w:rPr>
              <w:t>批准的所有检测检验项目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1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机构违法受处罚信息（初次申请不填写）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违法事实</w:t>
            </w:r>
          </w:p>
        </w:tc>
        <w:tc>
          <w:tcPr>
            <w:tcW w:w="220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处罚决定</w:t>
            </w:r>
          </w:p>
        </w:tc>
        <w:tc>
          <w:tcPr>
            <w:tcW w:w="220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处罚时间</w:t>
            </w:r>
          </w:p>
        </w:tc>
        <w:tc>
          <w:tcPr>
            <w:tcW w:w="239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执法机关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eastAsia" w:ascii="仿宋_GB2312" w:hAnsi="宋体 ! important" w:eastAsia="仿宋_GB2312" w:cs="仿宋_GB2312"/>
                <w:kern w:val="2"/>
                <w:sz w:val="24"/>
                <w:szCs w:val="24"/>
                <w:lang w:val="en-US" w:eastAsia="zh-CN" w:bidi="ar"/>
              </w:rPr>
              <w:t>——</w:t>
            </w:r>
            <w:r>
              <w:rPr>
                <w:rFonts w:hint="default" w:ascii="仿宋_GB2312" w:hAnsi="宋体 ! important" w:eastAsia="仿宋_GB2312" w:cs="仿宋_GB2312"/>
                <w:kern w:val="2"/>
                <w:sz w:val="24"/>
                <w:szCs w:val="24"/>
                <w:lang w:val="en-US" w:eastAsia="zh-CN" w:bidi="ar"/>
              </w:rPr>
              <w:t> </w:t>
            </w:r>
          </w:p>
        </w:tc>
        <w:tc>
          <w:tcPr>
            <w:tcW w:w="220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default" w:ascii="仿宋_GB2312" w:hAnsi="宋体 ! important" w:eastAsia="仿宋_GB2312" w:cs="仿宋_GB2312"/>
                <w:kern w:val="2"/>
                <w:sz w:val="24"/>
                <w:szCs w:val="24"/>
                <w:lang w:val="en-US" w:eastAsia="zh-CN" w:bidi="ar"/>
              </w:rPr>
              <w:t> </w:t>
            </w:r>
            <w:r>
              <w:rPr>
                <w:rFonts w:hint="eastAsia" w:ascii="仿宋_GB2312" w:hAnsi="宋体 ! important" w:eastAsia="仿宋_GB2312" w:cs="仿宋_GB2312"/>
                <w:kern w:val="2"/>
                <w:sz w:val="24"/>
                <w:szCs w:val="24"/>
                <w:lang w:val="en-US" w:eastAsia="zh-CN" w:bidi="ar"/>
              </w:rPr>
              <w:t>——</w:t>
            </w:r>
            <w:r>
              <w:rPr>
                <w:rFonts w:hint="default" w:ascii="仿宋_GB2312" w:hAnsi="宋体 ! important" w:eastAsia="仿宋_GB2312" w:cs="仿宋_GB2312"/>
                <w:kern w:val="2"/>
                <w:sz w:val="24"/>
                <w:szCs w:val="24"/>
                <w:lang w:val="en-US" w:eastAsia="zh-CN" w:bidi="ar"/>
              </w:rPr>
              <w:t> </w:t>
            </w:r>
          </w:p>
        </w:tc>
        <w:tc>
          <w:tcPr>
            <w:tcW w:w="220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eastAsia" w:ascii="仿宋_GB2312" w:hAnsi="宋体 ! important" w:eastAsia="仿宋_GB2312" w:cs="仿宋_GB2312"/>
                <w:kern w:val="2"/>
                <w:sz w:val="24"/>
                <w:szCs w:val="24"/>
                <w:lang w:val="en-US" w:eastAsia="zh-CN" w:bidi="ar"/>
              </w:rPr>
              <w:t>——</w:t>
            </w:r>
            <w:r>
              <w:rPr>
                <w:rFonts w:hint="default" w:ascii="仿宋_GB2312" w:hAnsi="宋体 ! important" w:eastAsia="仿宋_GB2312" w:cs="仿宋_GB2312"/>
                <w:kern w:val="2"/>
                <w:sz w:val="24"/>
                <w:szCs w:val="24"/>
                <w:lang w:val="en-US" w:eastAsia="zh-CN" w:bidi="ar"/>
              </w:rPr>
              <w:t>  </w:t>
            </w:r>
          </w:p>
        </w:tc>
        <w:tc>
          <w:tcPr>
            <w:tcW w:w="239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400" w:lineRule="exact"/>
              <w:ind w:left="0" w:right="0"/>
              <w:jc w:val="center"/>
              <w:rPr>
                <w:sz w:val="24"/>
                <w:szCs w:val="24"/>
              </w:rPr>
            </w:pPr>
            <w:r>
              <w:rPr>
                <w:rFonts w:hint="eastAsia" w:ascii="仿宋_GB2312" w:hAnsi="宋体 ! important" w:eastAsia="仿宋_GB2312" w:cs="仿宋_GB2312"/>
                <w:kern w:val="2"/>
                <w:sz w:val="24"/>
                <w:szCs w:val="24"/>
                <w:lang w:val="en-US" w:eastAsia="zh-CN" w:bidi="ar"/>
              </w:rPr>
              <w:t>——</w:t>
            </w:r>
          </w:p>
        </w:tc>
      </w:tr>
    </w:tbl>
    <w:p>
      <w:pPr>
        <w:pStyle w:val="2"/>
        <w:ind w:left="0" w:leftChars="0" w:firstLine="0" w:firstLineChars="0"/>
      </w:pPr>
    </w:p>
    <w:p>
      <w:pPr>
        <w:pStyle w:val="2"/>
        <w:ind w:left="0" w:leftChars="0" w:firstLine="0" w:firstLineChars="0"/>
      </w:pPr>
    </w:p>
    <w:sectPr>
      <w:pgSz w:w="11906" w:h="16838"/>
      <w:pgMar w:top="1417" w:right="1417" w:bottom="1134" w:left="141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YzMzNWE1NmI0OGU0YmMwNzM4YzdhN2I1ZjNjMjgifQ=="/>
  </w:docVars>
  <w:rsids>
    <w:rsidRoot w:val="6FC021A7"/>
    <w:rsid w:val="2C907DB7"/>
    <w:rsid w:val="2D731774"/>
    <w:rsid w:val="38E63BAB"/>
    <w:rsid w:val="3D675726"/>
    <w:rsid w:val="466D1CC4"/>
    <w:rsid w:val="4F072788"/>
    <w:rsid w:val="58E40B55"/>
    <w:rsid w:val="5D582A6F"/>
    <w:rsid w:val="6FC021A7"/>
    <w:rsid w:val="72F4699F"/>
    <w:rsid w:val="764664C9"/>
    <w:rsid w:val="7B623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pPr>
    <w:rPr>
      <w:sz w:val="21"/>
    </w:rPr>
  </w:style>
  <w:style w:type="paragraph" w:styleId="3">
    <w:name w:val="Body Text Indent"/>
    <w:basedOn w:val="1"/>
    <w:unhideWhenUsed/>
    <w:qFormat/>
    <w:uiPriority w:val="0"/>
    <w:pPr>
      <w:spacing w:after="120"/>
      <w:ind w:left="420" w:leftChars="200"/>
    </w:p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0"/>
    </w:rPr>
  </w:style>
  <w:style w:type="paragraph" w:customStyle="1" w:styleId="10">
    <w:name w:val="普通文字"/>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2070</Words>
  <Characters>2852</Characters>
  <Lines>0</Lines>
  <Paragraphs>0</Paragraphs>
  <TotalTime>0</TotalTime>
  <ScaleCrop>false</ScaleCrop>
  <LinksUpToDate>false</LinksUpToDate>
  <CharactersWithSpaces>2932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2019-07-23T03:39:00Z</dcterms:created>
  <dc:creator>admin</dc:creator>
  <cp:lastModifiedBy>李旭</cp:lastModifiedBy>
  <dcterms:modified xsi:type="dcterms:W3CDTF">2024-04-22T04:39:29Z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8A0CFD2209E84279887014278925C9A5_13</vt:lpwstr>
  </property>
</Properties>
</file>